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C39F7" w:rsidR="001B031F" w:rsidP="001B031F" w:rsidRDefault="001B031F" w14:paraId="626ED808" w14:textId="50363042">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bCs/>
          <w:i/>
          <w:sz w:val="32"/>
          <w:szCs w:val="20"/>
          <w:lang w:eastAsia="zh-CN"/>
        </w:rPr>
      </w:pPr>
      <w:r w:rsidRPr="00EE422F">
        <w:rPr>
          <w:rFonts w:ascii="Arial" w:hAnsi="Arial" w:eastAsia="SimSun" w:cs="Arial"/>
          <w:b/>
          <w:sz w:val="24"/>
          <w:szCs w:val="24"/>
        </w:rPr>
        <w:t>3GPP TSG-RAN WG4 Meeting #10</w:t>
      </w:r>
      <w:r w:rsidR="00EA70DD">
        <w:rPr>
          <w:rFonts w:ascii="Arial" w:hAnsi="Arial" w:eastAsia="SimSun" w:cs="Arial"/>
          <w:b/>
          <w:sz w:val="24"/>
          <w:szCs w:val="24"/>
        </w:rPr>
        <w:t>9</w:t>
      </w:r>
      <w:r w:rsidRPr="00EE422F">
        <w:rPr>
          <w:rFonts w:ascii="Arial" w:hAnsi="Arial" w:eastAsia="SimSun" w:cs="Arial"/>
          <w:b/>
          <w:sz w:val="24"/>
          <w:szCs w:val="24"/>
        </w:rPr>
        <w:t xml:space="preserve"> </w:t>
      </w:r>
      <w:r w:rsidRPr="00EE422F">
        <w:rPr>
          <w:rFonts w:ascii="Arial" w:hAnsi="Arial" w:eastAsia="SimSun" w:cs="Arial"/>
          <w:b/>
          <w:sz w:val="24"/>
          <w:szCs w:val="24"/>
        </w:rPr>
        <w:tab/>
      </w:r>
      <w:r w:rsidRPr="000D6FBA" w:rsidR="000D6FBA">
        <w:rPr>
          <w:rFonts w:ascii="Arial" w:hAnsi="Arial" w:eastAsia="SimSun" w:cs="Arial"/>
          <w:b/>
          <w:sz w:val="24"/>
          <w:szCs w:val="24"/>
        </w:rPr>
        <w:t>R4-2319281</w:t>
      </w:r>
    </w:p>
    <w:p w:rsidRPr="008C39F7" w:rsidR="001B031F" w:rsidP="001B031F" w:rsidRDefault="00EA70DD" w14:paraId="51629228" w14:textId="6828C76C">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bCs/>
          <w:sz w:val="24"/>
          <w:szCs w:val="20"/>
        </w:rPr>
      </w:pPr>
      <w:r>
        <w:rPr>
          <w:rFonts w:ascii="Arial" w:hAnsi="Arial" w:eastAsia="SimSun" w:cs="Times New Roman"/>
          <w:b/>
          <w:sz w:val="24"/>
          <w:szCs w:val="20"/>
        </w:rPr>
        <w:t>Chicago</w:t>
      </w:r>
      <w:r w:rsidRPr="008C39F7" w:rsidR="001B031F">
        <w:rPr>
          <w:rFonts w:ascii="Arial" w:hAnsi="Arial" w:eastAsia="SimSun" w:cs="Times New Roman"/>
          <w:b/>
          <w:sz w:val="24"/>
          <w:szCs w:val="20"/>
        </w:rPr>
        <w:t xml:space="preserve">, </w:t>
      </w:r>
      <w:r>
        <w:rPr>
          <w:rFonts w:ascii="Arial" w:hAnsi="Arial" w:eastAsia="SimSun" w:cs="Times New Roman"/>
          <w:b/>
          <w:sz w:val="24"/>
          <w:szCs w:val="20"/>
        </w:rPr>
        <w:t>US,</w:t>
      </w:r>
      <w:r w:rsidR="001B031F">
        <w:rPr>
          <w:rFonts w:ascii="Arial" w:hAnsi="Arial" w:eastAsia="SimSun" w:cs="Times New Roman"/>
          <w:b/>
          <w:sz w:val="24"/>
          <w:szCs w:val="20"/>
        </w:rPr>
        <w:t xml:space="preserve"> </w:t>
      </w:r>
      <w:r>
        <w:rPr>
          <w:rFonts w:ascii="Arial" w:hAnsi="Arial" w:eastAsia="SimSun" w:cs="Times New Roman"/>
          <w:b/>
          <w:sz w:val="24"/>
          <w:szCs w:val="20"/>
        </w:rPr>
        <w:t>November</w:t>
      </w:r>
      <w:r w:rsidRPr="008C39F7" w:rsidR="001B031F">
        <w:rPr>
          <w:rFonts w:ascii="Arial" w:hAnsi="Arial" w:eastAsia="SimSun" w:cs="Times New Roman"/>
          <w:b/>
          <w:sz w:val="24"/>
          <w:szCs w:val="20"/>
        </w:rPr>
        <w:t xml:space="preserve"> </w:t>
      </w:r>
      <w:r>
        <w:rPr>
          <w:rFonts w:ascii="Arial" w:hAnsi="Arial" w:eastAsia="SimSun" w:cs="Times New Roman"/>
          <w:b/>
          <w:sz w:val="24"/>
          <w:szCs w:val="20"/>
        </w:rPr>
        <w:t>13</w:t>
      </w:r>
      <w:r w:rsidRPr="008C39F7" w:rsidR="001B031F">
        <w:rPr>
          <w:rFonts w:ascii="Arial" w:hAnsi="Arial" w:eastAsia="SimSun" w:cs="Times New Roman"/>
          <w:b/>
          <w:sz w:val="24"/>
          <w:szCs w:val="20"/>
        </w:rPr>
        <w:t xml:space="preserve"> – </w:t>
      </w:r>
      <w:r>
        <w:rPr>
          <w:rFonts w:ascii="Arial" w:hAnsi="Arial" w:eastAsia="SimSun" w:cs="Times New Roman"/>
          <w:b/>
          <w:sz w:val="24"/>
          <w:szCs w:val="20"/>
        </w:rPr>
        <w:t>17</w:t>
      </w:r>
      <w:r w:rsidRPr="008C39F7" w:rsidR="001B031F">
        <w:rPr>
          <w:rFonts w:ascii="Arial" w:hAnsi="Arial" w:eastAsia="SimSun" w:cs="Times New Roman"/>
          <w:b/>
          <w:sz w:val="24"/>
          <w:szCs w:val="20"/>
        </w:rPr>
        <w:t>, 2023</w:t>
      </w:r>
    </w:p>
    <w:p w:rsidRPr="00123A66" w:rsidR="00020648" w:rsidP="00841BCD" w:rsidRDefault="00020648" w14:paraId="0DE72CA1" w14:textId="77777777">
      <w:pPr>
        <w:widowControl w:val="0"/>
        <w:overflowPunct w:val="0"/>
        <w:autoSpaceDE w:val="0"/>
        <w:autoSpaceDN w:val="0"/>
        <w:adjustRightInd w:val="0"/>
        <w:spacing w:after="0" w:line="240" w:lineRule="auto"/>
        <w:textAlignment w:val="baseline"/>
        <w:rPr>
          <w:rFonts w:ascii="Arial" w:hAnsi="Arial" w:eastAsia="SimSun" w:cs="Times New Roman"/>
          <w:b/>
          <w:bCs/>
          <w:sz w:val="24"/>
          <w:szCs w:val="20"/>
          <w:lang w:eastAsia="ja-JP"/>
        </w:rPr>
      </w:pPr>
    </w:p>
    <w:p w:rsidRPr="00123A66" w:rsidR="00841BCD" w:rsidP="00841BCD" w:rsidRDefault="00841BCD" w14:paraId="1D8BDB22" w14:textId="77777777">
      <w:pPr>
        <w:tabs>
          <w:tab w:val="left" w:pos="1985"/>
        </w:tabs>
        <w:ind w:left="1985" w:hanging="1985"/>
        <w:rPr>
          <w:rFonts w:ascii="Arial" w:hAnsi="Arial" w:eastAsia="Calibri" w:cs="Arial"/>
          <w:b/>
          <w:bCs/>
          <w:sz w:val="24"/>
        </w:rPr>
      </w:pPr>
      <w:r w:rsidRPr="00123A66">
        <w:rPr>
          <w:rFonts w:ascii="Arial" w:hAnsi="Arial" w:eastAsia="Calibri" w:cs="Arial"/>
          <w:b/>
          <w:bCs/>
          <w:sz w:val="24"/>
        </w:rPr>
        <w:t>Source:</w:t>
      </w:r>
      <w:r w:rsidRPr="00123A66">
        <w:rPr>
          <w:rFonts w:ascii="Arial" w:hAnsi="Arial" w:eastAsia="Calibri" w:cs="Arial"/>
          <w:b/>
          <w:bCs/>
          <w:sz w:val="24"/>
        </w:rPr>
        <w:tab/>
      </w:r>
      <w:r w:rsidRPr="00123A66">
        <w:rPr>
          <w:rFonts w:ascii="Arial" w:hAnsi="Arial" w:eastAsia="Calibri" w:cs="Arial"/>
          <w:b/>
          <w:bCs/>
          <w:sz w:val="24"/>
        </w:rPr>
        <w:t xml:space="preserve">Nokia, </w:t>
      </w:r>
      <w:r w:rsidRPr="00123A66" w:rsidR="0043750A">
        <w:rPr>
          <w:rFonts w:ascii="Arial" w:hAnsi="Arial" w:eastAsia="Calibri" w:cs="Arial"/>
          <w:b/>
          <w:bCs/>
          <w:sz w:val="24"/>
        </w:rPr>
        <w:t>Nokia</w:t>
      </w:r>
      <w:r w:rsidRPr="00123A66">
        <w:rPr>
          <w:rFonts w:ascii="Arial" w:hAnsi="Arial" w:eastAsia="Calibri" w:cs="Arial"/>
          <w:b/>
          <w:bCs/>
          <w:sz w:val="24"/>
        </w:rPr>
        <w:t xml:space="preserve"> Shanghai Bell</w:t>
      </w:r>
    </w:p>
    <w:p w:rsidRPr="00123A66" w:rsidR="00841BCD" w:rsidP="00841BCD" w:rsidRDefault="00841BCD" w14:paraId="196266F8" w14:textId="6FD4F8CF">
      <w:pPr>
        <w:ind w:left="1985" w:hanging="1985"/>
        <w:rPr>
          <w:rFonts w:ascii="Arial" w:hAnsi="Arial" w:eastAsia="Calibri" w:cs="Arial"/>
          <w:b/>
          <w:bCs/>
          <w:sz w:val="24"/>
        </w:rPr>
      </w:pPr>
      <w:r w:rsidRPr="00123A66">
        <w:rPr>
          <w:rFonts w:ascii="Arial" w:hAnsi="Arial" w:eastAsia="Calibri" w:cs="Arial"/>
          <w:b/>
          <w:bCs/>
          <w:sz w:val="24"/>
        </w:rPr>
        <w:t>Title:</w:t>
      </w:r>
      <w:r w:rsidRPr="00123A66">
        <w:rPr>
          <w:rFonts w:ascii="Arial" w:hAnsi="Arial" w:eastAsia="Calibri" w:cs="Arial"/>
          <w:b/>
          <w:bCs/>
          <w:sz w:val="24"/>
        </w:rPr>
        <w:tab/>
      </w:r>
      <w:r w:rsidRPr="004327CE" w:rsidR="004327CE">
        <w:rPr>
          <w:rFonts w:ascii="Arial" w:hAnsi="Arial" w:eastAsia="Calibri" w:cs="Arial"/>
          <w:b/>
          <w:bCs/>
          <w:sz w:val="24"/>
        </w:rPr>
        <w:t>On general aspects of LTM</w:t>
      </w:r>
    </w:p>
    <w:p w:rsidRPr="00123A66" w:rsidR="00841BCD" w:rsidP="00841BCD" w:rsidRDefault="00841BCD" w14:paraId="6F14F3BC" w14:textId="5CF4DACE">
      <w:pPr>
        <w:tabs>
          <w:tab w:val="left" w:pos="1985"/>
        </w:tabs>
        <w:spacing w:after="120" w:line="240" w:lineRule="auto"/>
        <w:rPr>
          <w:rFonts w:ascii="Arial" w:hAnsi="Arial" w:eastAsia="MS Mincho" w:cs="Arial"/>
          <w:b/>
          <w:bCs/>
          <w:sz w:val="24"/>
          <w:szCs w:val="20"/>
        </w:rPr>
      </w:pPr>
      <w:r w:rsidRPr="00123A66">
        <w:rPr>
          <w:rFonts w:ascii="Arial" w:hAnsi="Arial" w:eastAsia="MS Mincho" w:cs="Arial"/>
          <w:b/>
          <w:bCs/>
          <w:sz w:val="24"/>
          <w:szCs w:val="20"/>
        </w:rPr>
        <w:t>Agenda item:</w:t>
      </w:r>
      <w:r w:rsidRPr="00123A66">
        <w:rPr>
          <w:rFonts w:ascii="Arial" w:hAnsi="Arial" w:eastAsia="MS Mincho" w:cs="Arial"/>
          <w:b/>
          <w:bCs/>
          <w:sz w:val="24"/>
          <w:szCs w:val="20"/>
        </w:rPr>
        <w:tab/>
      </w:r>
      <w:r w:rsidRPr="00EA0DCC" w:rsidR="00EA0DCC">
        <w:rPr>
          <w:rFonts w:ascii="Arial" w:hAnsi="Arial" w:eastAsia="MS Mincho" w:cs="Arial"/>
          <w:b/>
          <w:bCs/>
          <w:sz w:val="24"/>
          <w:szCs w:val="20"/>
        </w:rPr>
        <w:t>8.24.2.1.1</w:t>
      </w:r>
    </w:p>
    <w:p w:rsidRPr="00123A66" w:rsidR="00D66188" w:rsidP="00841BCD" w:rsidRDefault="00841BCD" w14:paraId="11D7639E" w14:textId="77777777">
      <w:pPr>
        <w:tabs>
          <w:tab w:val="left" w:pos="1985"/>
        </w:tabs>
        <w:rPr>
          <w:rFonts w:ascii="Arial" w:hAnsi="Arial" w:eastAsia="Calibri" w:cs="Arial"/>
          <w:b/>
          <w:bCs/>
          <w:sz w:val="24"/>
        </w:rPr>
      </w:pPr>
      <w:r w:rsidRPr="00123A66">
        <w:rPr>
          <w:rFonts w:ascii="Arial" w:hAnsi="Arial" w:eastAsia="Calibri" w:cs="Arial"/>
          <w:b/>
          <w:bCs/>
          <w:sz w:val="24"/>
        </w:rPr>
        <w:t>Document for:</w:t>
      </w:r>
      <w:r w:rsidRPr="00123A66">
        <w:rPr>
          <w:rFonts w:ascii="Arial" w:hAnsi="Arial" w:eastAsia="Calibri" w:cs="Arial"/>
          <w:b/>
          <w:bCs/>
          <w:sz w:val="24"/>
        </w:rPr>
        <w:tab/>
      </w:r>
      <w:r w:rsidRPr="00123A66" w:rsidR="00AE6D09">
        <w:rPr>
          <w:rFonts w:ascii="Arial" w:hAnsi="Arial" w:eastAsia="Calibri" w:cs="Arial"/>
          <w:b/>
          <w:bCs/>
          <w:sz w:val="24"/>
        </w:rPr>
        <w:t>Discussion</w:t>
      </w:r>
    </w:p>
    <w:p w:rsidRPr="008C39F7" w:rsidR="00841BCD" w:rsidP="00DD5CBA" w:rsidRDefault="00841BCD" w14:paraId="4276EB6D" w14:textId="77777777">
      <w:pPr>
        <w:pStyle w:val="RAN4H1"/>
      </w:pPr>
      <w:bookmarkStart w:name="_Toc116995841" w:id="0"/>
      <w:r w:rsidRPr="008C39F7">
        <w:t>Intro</w:t>
      </w:r>
      <w:r w:rsidRPr="008C39F7">
        <w:rPr>
          <w:rStyle w:val="RAN4H1Char"/>
        </w:rPr>
        <w:t>ductio</w:t>
      </w:r>
      <w:r w:rsidRPr="008C39F7">
        <w:t>n</w:t>
      </w:r>
      <w:bookmarkEnd w:id="0"/>
    </w:p>
    <w:p w:rsidR="005D1624" w:rsidP="005D1624" w:rsidRDefault="00160FC3" w14:paraId="6DB5C553" w14:textId="55359497">
      <w:r w:rsidRPr="00160FC3">
        <w:rPr>
          <w:lang w:val="en-GB"/>
        </w:rPr>
        <w:t xml:space="preserve">In this contribution we discuss </w:t>
      </w:r>
      <w:r w:rsidR="004D4414">
        <w:rPr>
          <w:lang w:val="en-GB"/>
        </w:rPr>
        <w:t xml:space="preserve">some of the </w:t>
      </w:r>
      <w:r w:rsidR="00476B7A">
        <w:rPr>
          <w:lang w:val="en-GB"/>
        </w:rPr>
        <w:t>open issues related to general</w:t>
      </w:r>
      <w:r w:rsidRPr="00160FC3">
        <w:rPr>
          <w:lang w:val="en-GB"/>
        </w:rPr>
        <w:t xml:space="preserve"> aspects </w:t>
      </w:r>
      <w:r w:rsidR="004D0803">
        <w:rPr>
          <w:lang w:val="en-GB"/>
        </w:rPr>
        <w:t>of</w:t>
      </w:r>
      <w:r w:rsidRPr="00160FC3">
        <w:rPr>
          <w:lang w:val="en-GB"/>
        </w:rPr>
        <w:t xml:space="preserve"> LTM</w:t>
      </w:r>
      <w:r w:rsidR="00C143A4">
        <w:rPr>
          <w:lang w:val="en-GB"/>
        </w:rPr>
        <w:t xml:space="preserve"> based on the RAN4#108bis way forward </w:t>
      </w:r>
      <w:r w:rsidR="00B02CFB">
        <w:rPr>
          <w:lang w:val="en-GB"/>
        </w:rPr>
        <w:t>for part 1 [1]</w:t>
      </w:r>
      <w:r w:rsidR="004D0803">
        <w:rPr>
          <w:lang w:val="en-GB"/>
        </w:rPr>
        <w:t>.</w:t>
      </w:r>
    </w:p>
    <w:p w:rsidR="00EA70DD" w:rsidP="00EA70DD" w:rsidRDefault="000E3EE0" w14:paraId="7220A421" w14:textId="23D1F2E7">
      <w:pPr>
        <w:pStyle w:val="RAN4H1"/>
      </w:pPr>
      <w:r>
        <w:t>TCI state activation before cell switch</w:t>
      </w:r>
    </w:p>
    <w:p w:rsidR="007A328E" w:rsidP="00B518EF" w:rsidRDefault="00597D53" w14:paraId="35BD5B6B" w14:textId="0D9298E6">
      <w:r>
        <w:t xml:space="preserve">In the previous RAN4 meetings, </w:t>
      </w:r>
      <w:r w:rsidR="00C143A4">
        <w:t>whether and how to define TCI state activation delay for early TCI state activation has been discussed. The proposals were captured in issue 1-1-4.</w:t>
      </w:r>
    </w:p>
    <w:tbl>
      <w:tblPr>
        <w:tblStyle w:val="TableGrid"/>
        <w:tblW w:w="0" w:type="auto"/>
        <w:tblLook w:val="04A0" w:firstRow="1" w:lastRow="0" w:firstColumn="1" w:lastColumn="0" w:noHBand="0" w:noVBand="1"/>
      </w:tblPr>
      <w:tblGrid>
        <w:gridCol w:w="9617"/>
      </w:tblGrid>
      <w:tr w:rsidR="00EA70DD" w:rsidTr="00EA70DD" w14:paraId="2C6D5CF7" w14:textId="77777777">
        <w:tc>
          <w:tcPr>
            <w:tcW w:w="9617" w:type="dxa"/>
          </w:tcPr>
          <w:p w:rsidRPr="00B433B3" w:rsidR="00EA70DD" w:rsidP="00B433B3" w:rsidRDefault="00EA70DD" w14:paraId="1FC2F676" w14:textId="2F0F71CE">
            <w:pPr>
              <w:spacing w:after="120"/>
              <w:jc w:val="left"/>
              <w:rPr>
                <w:rFonts w:ascii="Calibri" w:hAnsi="Calibri" w:eastAsia="Times New Roman" w:cs="Calibri"/>
                <w:sz w:val="18"/>
                <w:szCs w:val="18"/>
              </w:rPr>
            </w:pPr>
            <w:r w:rsidRPr="00B433B3">
              <w:rPr>
                <w:rFonts w:ascii="Calibri" w:hAnsi="Calibri" w:eastAsia="Times New Roman" w:cs="Calibri"/>
                <w:sz w:val="18"/>
                <w:szCs w:val="18"/>
              </w:rPr>
              <w:t> </w:t>
            </w:r>
            <w:r w:rsidRPr="00B433B3">
              <w:rPr>
                <w:rFonts w:ascii="Calibri" w:hAnsi="Calibri" w:eastAsia="Times New Roman" w:cs="Calibri"/>
                <w:b/>
                <w:bCs/>
                <w:sz w:val="18"/>
                <w:szCs w:val="18"/>
                <w:u w:val="single"/>
              </w:rPr>
              <w:t xml:space="preserve">Issue 1-1-4: Whether and how to define TCI state activation delay requirements for early T/F tracking before cell switch </w:t>
            </w:r>
            <w:proofErr w:type="gramStart"/>
            <w:r w:rsidRPr="00B433B3">
              <w:rPr>
                <w:rFonts w:ascii="Calibri" w:hAnsi="Calibri" w:eastAsia="Times New Roman" w:cs="Calibri"/>
                <w:b/>
                <w:bCs/>
                <w:sz w:val="18"/>
                <w:szCs w:val="18"/>
                <w:u w:val="single"/>
              </w:rPr>
              <w:t>command</w:t>
            </w:r>
            <w:proofErr w:type="gramEnd"/>
          </w:p>
          <w:p w:rsidRPr="00B433B3" w:rsidR="00EA70DD" w:rsidP="00EA70DD" w:rsidRDefault="00EA70DD" w14:paraId="1575E117" w14:textId="77777777">
            <w:pPr>
              <w:spacing w:after="120"/>
              <w:jc w:val="left"/>
              <w:rPr>
                <w:rFonts w:ascii="Calibri" w:hAnsi="Calibri" w:eastAsia="Times New Roman" w:cs="Calibri"/>
                <w:sz w:val="18"/>
                <w:szCs w:val="18"/>
              </w:rPr>
            </w:pPr>
            <w:r w:rsidRPr="00B433B3">
              <w:rPr>
                <w:rFonts w:ascii="Calibri" w:hAnsi="Calibri" w:eastAsia="Times New Roman" w:cs="Calibri"/>
                <w:b/>
                <w:bCs/>
                <w:sz w:val="18"/>
                <w:szCs w:val="18"/>
              </w:rPr>
              <w:t>&lt;Way Forward&gt;: FFS the following Options</w:t>
            </w:r>
          </w:p>
          <w:p w:rsidRPr="00B433B3" w:rsidR="00EA70DD" w:rsidP="00EA70DD" w:rsidRDefault="00EA70DD" w14:paraId="6648E920" w14:textId="77777777">
            <w:pPr>
              <w:numPr>
                <w:ilvl w:val="0"/>
                <w:numId w:val="15"/>
              </w:numPr>
              <w:spacing w:after="120"/>
              <w:jc w:val="left"/>
              <w:textAlignment w:val="center"/>
              <w:rPr>
                <w:rFonts w:ascii="Calibri" w:hAnsi="Calibri" w:eastAsia="Times New Roman" w:cs="Calibri"/>
                <w:sz w:val="18"/>
                <w:szCs w:val="18"/>
              </w:rPr>
            </w:pPr>
            <w:r w:rsidRPr="00B433B3">
              <w:rPr>
                <w:rFonts w:ascii="Calibri" w:hAnsi="Calibri" w:eastAsia="Times New Roman" w:cs="Calibri"/>
                <w:sz w:val="18"/>
                <w:szCs w:val="18"/>
              </w:rPr>
              <w:t xml:space="preserve">Option 1 (Nokia): </w:t>
            </w:r>
          </w:p>
          <w:p w:rsidRPr="00B433B3" w:rsidR="00EA70DD" w:rsidP="00EA70DD" w:rsidRDefault="00EA70DD" w14:paraId="16244C31" w14:textId="77777777">
            <w:pPr>
              <w:numPr>
                <w:ilvl w:val="1"/>
                <w:numId w:val="15"/>
              </w:numPr>
              <w:spacing w:after="120"/>
              <w:jc w:val="left"/>
              <w:textAlignment w:val="center"/>
              <w:rPr>
                <w:rFonts w:ascii="Calibri" w:hAnsi="Calibri" w:eastAsia="Times New Roman" w:cs="Calibri"/>
                <w:sz w:val="18"/>
                <w:szCs w:val="18"/>
              </w:rPr>
            </w:pPr>
            <w:r w:rsidRPr="00B433B3">
              <w:rPr>
                <w:rFonts w:ascii="Calibri" w:hAnsi="Calibri" w:eastAsia="Times New Roman" w:cs="Calibri"/>
                <w:sz w:val="18"/>
                <w:szCs w:val="18"/>
              </w:rPr>
              <w:t>RAN4 to define TCI state activation delay requirement for early TCI state activation for LTM candidate cell before the cell switch. Legacy TCI state switching delay for unified TCI state can be reused.</w:t>
            </w:r>
          </w:p>
          <w:p w:rsidRPr="00B433B3" w:rsidR="00EA70DD" w:rsidP="00EA70DD" w:rsidRDefault="00EA70DD" w14:paraId="098BA5EE" w14:textId="77777777">
            <w:pPr>
              <w:numPr>
                <w:ilvl w:val="1"/>
                <w:numId w:val="15"/>
              </w:numPr>
              <w:spacing w:after="120"/>
              <w:jc w:val="left"/>
              <w:textAlignment w:val="center"/>
              <w:rPr>
                <w:rFonts w:ascii="Calibri" w:hAnsi="Calibri" w:eastAsia="Times New Roman" w:cs="Calibri"/>
                <w:sz w:val="18"/>
                <w:szCs w:val="18"/>
              </w:rPr>
            </w:pPr>
            <w:r w:rsidRPr="00B433B3">
              <w:rPr>
                <w:rFonts w:ascii="Calibri" w:hAnsi="Calibri" w:eastAsia="Times New Roman" w:cs="Calibri"/>
                <w:sz w:val="18"/>
                <w:szCs w:val="18"/>
              </w:rPr>
              <w:t>Take both known and unknown UL/DL TCI states into account in the early TCI state activation delay requirement.</w:t>
            </w:r>
          </w:p>
          <w:p w:rsidRPr="00B433B3" w:rsidR="00EA70DD" w:rsidP="00EA70DD" w:rsidRDefault="00EA70DD" w14:paraId="4D6962CB" w14:textId="77777777">
            <w:pPr>
              <w:numPr>
                <w:ilvl w:val="0"/>
                <w:numId w:val="15"/>
              </w:numPr>
              <w:spacing w:after="120"/>
              <w:jc w:val="left"/>
              <w:textAlignment w:val="center"/>
              <w:rPr>
                <w:rFonts w:ascii="Calibri" w:hAnsi="Calibri" w:eastAsia="Times New Roman" w:cs="Calibri"/>
                <w:sz w:val="18"/>
                <w:szCs w:val="18"/>
              </w:rPr>
            </w:pPr>
            <w:r w:rsidRPr="00B433B3">
              <w:rPr>
                <w:rFonts w:ascii="Calibri" w:hAnsi="Calibri" w:eastAsia="Times New Roman" w:cs="Calibri"/>
                <w:sz w:val="18"/>
                <w:szCs w:val="18"/>
              </w:rPr>
              <w:t>Option 2 (vivo): RAN4 to define TCI state activation delay requirement for early TCI state activation for LTM candidate cell before the cell switch.</w:t>
            </w:r>
          </w:p>
          <w:p w:rsidRPr="00B433B3" w:rsidR="00EA70DD" w:rsidP="00EA70DD" w:rsidRDefault="00EA70DD" w14:paraId="5EFFDC96" w14:textId="77777777">
            <w:pPr>
              <w:numPr>
                <w:ilvl w:val="1"/>
                <w:numId w:val="15"/>
              </w:numPr>
              <w:spacing w:after="120"/>
              <w:jc w:val="left"/>
              <w:textAlignment w:val="center"/>
              <w:rPr>
                <w:rFonts w:ascii="Calibri" w:hAnsi="Calibri" w:eastAsia="Times New Roman" w:cs="Calibri"/>
                <w:sz w:val="18"/>
                <w:szCs w:val="18"/>
              </w:rPr>
            </w:pPr>
            <w:r w:rsidRPr="00B433B3">
              <w:rPr>
                <w:rFonts w:ascii="Calibri" w:hAnsi="Calibri" w:eastAsia="Times New Roman" w:cs="Calibri"/>
                <w:sz w:val="18"/>
                <w:szCs w:val="18"/>
              </w:rPr>
              <w:t>The end point is defined as the slot X that:</w:t>
            </w:r>
          </w:p>
          <w:p w:rsidRPr="00B433B3" w:rsidR="00EA70DD" w:rsidP="00EA70DD" w:rsidRDefault="00EA70DD" w14:paraId="18BE5457" w14:textId="77777777">
            <w:pPr>
              <w:numPr>
                <w:ilvl w:val="2"/>
                <w:numId w:val="15"/>
              </w:numPr>
              <w:spacing w:after="120"/>
              <w:jc w:val="left"/>
              <w:textAlignment w:val="center"/>
              <w:rPr>
                <w:rFonts w:ascii="Calibri" w:hAnsi="Calibri" w:eastAsia="Times New Roman" w:cs="Calibri"/>
                <w:sz w:val="18"/>
                <w:szCs w:val="18"/>
              </w:rPr>
            </w:pPr>
            <w:r w:rsidRPr="00B433B3">
              <w:rPr>
                <w:rFonts w:ascii="Calibri" w:hAnsi="Calibri" w:eastAsia="Times New Roman" w:cs="Calibri"/>
                <w:sz w:val="18"/>
                <w:szCs w:val="18"/>
              </w:rPr>
              <w:t xml:space="preserve">If UE receives cell switch command to the cell with active TCI after slot X, and the TCI to be used after cell switch is activated, then UE may not need additional </w:t>
            </w:r>
            <w:proofErr w:type="spellStart"/>
            <w:r w:rsidRPr="00B433B3">
              <w:rPr>
                <w:rFonts w:ascii="Calibri" w:hAnsi="Calibri" w:eastAsia="Times New Roman" w:cs="Calibri"/>
                <w:sz w:val="18"/>
                <w:szCs w:val="18"/>
              </w:rPr>
              <w:t>T_delta</w:t>
            </w:r>
            <w:proofErr w:type="spellEnd"/>
            <w:r w:rsidRPr="00B433B3">
              <w:rPr>
                <w:rFonts w:ascii="Calibri" w:hAnsi="Calibri" w:eastAsia="Times New Roman" w:cs="Calibri"/>
                <w:sz w:val="18"/>
                <w:szCs w:val="18"/>
              </w:rPr>
              <w:t xml:space="preserve"> in cell switch </w:t>
            </w:r>
            <w:proofErr w:type="gramStart"/>
            <w:r w:rsidRPr="00B433B3">
              <w:rPr>
                <w:rFonts w:ascii="Calibri" w:hAnsi="Calibri" w:eastAsia="Times New Roman" w:cs="Calibri"/>
                <w:sz w:val="18"/>
                <w:szCs w:val="18"/>
              </w:rPr>
              <w:t>delay</w:t>
            </w:r>
            <w:proofErr w:type="gramEnd"/>
          </w:p>
          <w:p w:rsidRPr="00B433B3" w:rsidR="00EA70DD" w:rsidP="00EA70DD" w:rsidRDefault="00EA70DD" w14:paraId="58B64C05" w14:textId="77777777">
            <w:pPr>
              <w:numPr>
                <w:ilvl w:val="1"/>
                <w:numId w:val="15"/>
              </w:numPr>
              <w:spacing w:after="120"/>
              <w:jc w:val="left"/>
              <w:textAlignment w:val="center"/>
              <w:rPr>
                <w:rFonts w:ascii="Calibri" w:hAnsi="Calibri" w:eastAsia="Times New Roman" w:cs="Calibri"/>
                <w:sz w:val="18"/>
                <w:szCs w:val="18"/>
              </w:rPr>
            </w:pPr>
            <w:r w:rsidRPr="00B433B3">
              <w:rPr>
                <w:rFonts w:ascii="Calibri" w:hAnsi="Calibri" w:eastAsia="Times New Roman" w:cs="Calibri"/>
                <w:sz w:val="18"/>
                <w:szCs w:val="18"/>
              </w:rPr>
              <w:t>This TCI activation delay counts the following parts:</w:t>
            </w:r>
          </w:p>
          <w:p w:rsidRPr="00B433B3" w:rsidR="00EA70DD" w:rsidP="00EA70DD" w:rsidRDefault="00EA70DD" w14:paraId="648F416B" w14:textId="77777777">
            <w:pPr>
              <w:numPr>
                <w:ilvl w:val="2"/>
                <w:numId w:val="15"/>
              </w:numPr>
              <w:spacing w:after="120"/>
              <w:jc w:val="left"/>
              <w:textAlignment w:val="center"/>
              <w:rPr>
                <w:rFonts w:ascii="Calibri" w:hAnsi="Calibri" w:eastAsia="Times New Roman" w:cs="Calibri"/>
                <w:sz w:val="18"/>
                <w:szCs w:val="18"/>
              </w:rPr>
            </w:pPr>
            <w:r w:rsidRPr="00B433B3">
              <w:rPr>
                <w:rFonts w:ascii="Calibri" w:hAnsi="Calibri" w:eastAsia="Times New Roman" w:cs="Calibri"/>
                <w:sz w:val="18"/>
                <w:szCs w:val="18"/>
              </w:rPr>
              <w:t>SFN (system frame number) acquisition delay, if needed.</w:t>
            </w:r>
          </w:p>
          <w:p w:rsidRPr="00B433B3" w:rsidR="00EA70DD" w:rsidP="00EA70DD" w:rsidRDefault="00EA70DD" w14:paraId="66CD8B66" w14:textId="77777777">
            <w:pPr>
              <w:numPr>
                <w:ilvl w:val="2"/>
                <w:numId w:val="15"/>
              </w:numPr>
              <w:spacing w:after="120"/>
              <w:jc w:val="left"/>
              <w:textAlignment w:val="center"/>
              <w:rPr>
                <w:rFonts w:ascii="Calibri" w:hAnsi="Calibri" w:eastAsia="Times New Roman" w:cs="Calibri"/>
                <w:sz w:val="18"/>
                <w:szCs w:val="18"/>
              </w:rPr>
            </w:pPr>
            <w:r w:rsidRPr="00B433B3">
              <w:rPr>
                <w:rFonts w:ascii="Calibri" w:hAnsi="Calibri" w:eastAsia="Times New Roman" w:cs="Calibri"/>
                <w:sz w:val="18"/>
                <w:szCs w:val="18"/>
              </w:rPr>
              <w:t xml:space="preserve">SSB-based rough time-frequency tracking </w:t>
            </w:r>
            <w:proofErr w:type="gramStart"/>
            <w:r w:rsidRPr="00B433B3">
              <w:rPr>
                <w:rFonts w:ascii="Calibri" w:hAnsi="Calibri" w:eastAsia="Times New Roman" w:cs="Calibri"/>
                <w:sz w:val="18"/>
                <w:szCs w:val="18"/>
              </w:rPr>
              <w:t>delay</w:t>
            </w:r>
            <w:proofErr w:type="gramEnd"/>
          </w:p>
          <w:p w:rsidRPr="00597D53" w:rsidR="00EA70DD" w:rsidP="00597D53" w:rsidRDefault="00EA70DD" w14:paraId="6D59E32E" w14:textId="701C5B2E">
            <w:pPr>
              <w:numPr>
                <w:ilvl w:val="0"/>
                <w:numId w:val="15"/>
              </w:numPr>
              <w:spacing w:after="120"/>
              <w:jc w:val="left"/>
              <w:textAlignment w:val="center"/>
              <w:rPr>
                <w:rFonts w:ascii="Calibri" w:hAnsi="Calibri" w:eastAsia="Times New Roman" w:cs="Calibri"/>
                <w:sz w:val="18"/>
                <w:szCs w:val="18"/>
              </w:rPr>
            </w:pPr>
            <w:r w:rsidRPr="00B433B3">
              <w:rPr>
                <w:rFonts w:ascii="Calibri" w:hAnsi="Calibri" w:eastAsia="Times New Roman" w:cs="Calibri"/>
                <w:sz w:val="18"/>
                <w:szCs w:val="18"/>
              </w:rPr>
              <w:t>Option 3 (Apple): No need to define delay requirement for TCI state activation before cell switch.</w:t>
            </w:r>
          </w:p>
        </w:tc>
      </w:tr>
    </w:tbl>
    <w:p w:rsidR="00EA70DD" w:rsidP="00EA70DD" w:rsidRDefault="00EA70DD" w14:paraId="34B2FAD9" w14:textId="77777777"/>
    <w:p w:rsidR="00EE66A4" w:rsidP="00EE66A4" w:rsidRDefault="00EE66A4" w14:paraId="48029637" w14:textId="4A044345">
      <w:pPr>
        <w:pStyle w:val="RAN4H2"/>
      </w:pPr>
      <w:r>
        <w:t>TCI state activation delay</w:t>
      </w:r>
    </w:p>
    <w:p w:rsidR="00356A7F" w:rsidP="00EA70DD" w:rsidRDefault="00442C8C" w14:paraId="7B9A0924" w14:textId="6FF5E943">
      <w:r>
        <w:t xml:space="preserve">In RAN4#108bis meeting, </w:t>
      </w:r>
      <w:r w:rsidR="00A15B16">
        <w:t>a draft CR was discussed</w:t>
      </w:r>
      <w:r>
        <w:t xml:space="preserve"> </w:t>
      </w:r>
      <w:r w:rsidR="00A15B16">
        <w:t xml:space="preserve">(and postponed until the next meeting) </w:t>
      </w:r>
      <w:r>
        <w:t xml:space="preserve">to capture the delay requirement for early TCI state </w:t>
      </w:r>
      <w:r w:rsidR="009D4B89">
        <w:t xml:space="preserve">activation in </w:t>
      </w:r>
      <w:r w:rsidRPr="009D4B89" w:rsidR="009D4B89">
        <w:t>R4-2317325</w:t>
      </w:r>
      <w:r w:rsidR="009D4B89">
        <w:t xml:space="preserve"> as follows:</w:t>
      </w:r>
    </w:p>
    <w:tbl>
      <w:tblPr>
        <w:tblStyle w:val="TableGrid"/>
        <w:tblW w:w="0" w:type="auto"/>
        <w:tblLook w:val="04A0" w:firstRow="1" w:lastRow="0" w:firstColumn="1" w:lastColumn="0" w:noHBand="0" w:noVBand="1"/>
      </w:tblPr>
      <w:tblGrid>
        <w:gridCol w:w="9617"/>
      </w:tblGrid>
      <w:tr w:rsidR="009D4B89" w:rsidTr="009D4B89" w14:paraId="7CC1B660" w14:textId="77777777">
        <w:tc>
          <w:tcPr>
            <w:tcW w:w="9617" w:type="dxa"/>
          </w:tcPr>
          <w:p w:rsidRPr="009D4B89" w:rsidR="009D4B89" w:rsidP="009D4B89" w:rsidRDefault="009D4B89" w14:paraId="328D247D" w14:textId="77777777">
            <w:pPr>
              <w:spacing w:after="180"/>
              <w:jc w:val="left"/>
              <w:rPr>
                <w:rFonts w:eastAsia="SimSun" w:cs="Times New Roman"/>
                <w:szCs w:val="20"/>
                <w:lang w:eastAsia="zh-CN"/>
              </w:rPr>
            </w:pPr>
            <w:r w:rsidRPr="009D4B89">
              <w:rPr>
                <w:rFonts w:eastAsia="Malgun Gothic" w:cs="Times New Roman"/>
                <w:szCs w:val="20"/>
                <w:lang w:eastAsia="zh-CN"/>
              </w:rPr>
              <w:t>If the target TCI state is known, upon</w:t>
            </w:r>
            <w:r w:rsidRPr="009D4B89">
              <w:rPr>
                <w:rFonts w:eastAsia="SimSun" w:cs="Times New Roman"/>
                <w:szCs w:val="20"/>
                <w:lang w:eastAsia="zh-CN"/>
              </w:rPr>
              <w:t xml:space="preserve"> receiv</w:t>
            </w:r>
            <w:r w:rsidRPr="009D4B89">
              <w:rPr>
                <w:rFonts w:eastAsia="Malgun Gothic" w:cs="Times New Roman"/>
                <w:szCs w:val="20"/>
                <w:lang w:eastAsia="zh-CN"/>
              </w:rPr>
              <w:t>ing PDSCH carrying</w:t>
            </w:r>
            <w:r w:rsidRPr="009D4B89">
              <w:rPr>
                <w:rFonts w:eastAsia="SimSun" w:cs="Times New Roman"/>
                <w:szCs w:val="20"/>
                <w:lang w:eastAsia="zh-CN"/>
              </w:rPr>
              <w:t xml:space="preserve"> </w:t>
            </w:r>
            <w:r w:rsidRPr="009D4B89">
              <w:rPr>
                <w:rFonts w:eastAsia="Malgun Gothic" w:cs="Times New Roman"/>
                <w:szCs w:val="20"/>
                <w:lang w:eastAsia="zh-CN"/>
              </w:rPr>
              <w:t>MAC-CE activation command in slot n</w:t>
            </w:r>
            <w:r w:rsidRPr="009D4B89">
              <w:rPr>
                <w:rFonts w:eastAsia="SimSun" w:cs="Times New Roman"/>
                <w:szCs w:val="20"/>
                <w:lang w:eastAsia="zh-CN"/>
              </w:rPr>
              <w:t xml:space="preserve">, UE shall be able to </w:t>
            </w:r>
          </w:p>
          <w:p w:rsidRPr="009D4B89" w:rsidR="009D4B89" w:rsidP="009D4B89" w:rsidRDefault="009D4B89" w14:paraId="6BBD9803" w14:textId="77777777">
            <w:pPr>
              <w:numPr>
                <w:ilvl w:val="0"/>
                <w:numId w:val="32"/>
              </w:numPr>
              <w:overflowPunct w:val="0"/>
              <w:autoSpaceDE w:val="0"/>
              <w:autoSpaceDN w:val="0"/>
              <w:adjustRightInd w:val="0"/>
              <w:spacing w:after="180"/>
              <w:jc w:val="left"/>
              <w:textAlignment w:val="baseline"/>
              <w:rPr>
                <w:rFonts w:eastAsia="MS Mincho" w:cs="Times New Roman"/>
                <w:szCs w:val="20"/>
                <w:lang w:eastAsia="zh-CN"/>
              </w:rPr>
            </w:pPr>
            <w:r w:rsidRPr="009D4B89">
              <w:rPr>
                <w:rFonts w:eastAsia="SimSun" w:cs="Times New Roman"/>
                <w:szCs w:val="20"/>
                <w:lang w:eastAsia="zh-CN"/>
              </w:rPr>
              <w:t xml:space="preserve">receive the cell switch command and perform cell switch with </w:t>
            </w:r>
            <w:r w:rsidRPr="009D4B89">
              <w:rPr>
                <w:rFonts w:eastAsia="SimSun" w:cs="Times New Roman"/>
                <w:szCs w:val="24"/>
                <w:lang w:val="en-GB" w:eastAsia="zh-CN"/>
              </w:rPr>
              <w:t>T</w:t>
            </w:r>
            <w:r w:rsidRPr="009D4B89">
              <w:rPr>
                <w:rFonts w:eastAsia="SimSun" w:cs="Times New Roman"/>
                <w:szCs w:val="24"/>
                <w:vertAlign w:val="subscript"/>
                <w:lang w:val="en-GB" w:eastAsia="zh-CN"/>
              </w:rPr>
              <w:t>Δ</w:t>
            </w:r>
            <w:r w:rsidRPr="009D4B89">
              <w:rPr>
                <w:rFonts w:eastAsia="SimSun" w:cs="Times New Roman"/>
                <w:szCs w:val="20"/>
                <w:lang w:val="en-GB" w:eastAsia="zh-CN"/>
              </w:rPr>
              <w:t xml:space="preserve"> = 0 and </w:t>
            </w:r>
            <w:proofErr w:type="spellStart"/>
            <w:r w:rsidRPr="009D4B89">
              <w:rPr>
                <w:rFonts w:eastAsia="SimSun" w:cs="Times New Roman"/>
                <w:szCs w:val="20"/>
                <w:lang w:val="en-GB" w:eastAsia="zh-CN"/>
              </w:rPr>
              <w:t>T</w:t>
            </w:r>
            <w:r w:rsidRPr="009D4B89">
              <w:rPr>
                <w:rFonts w:eastAsia="SimSun" w:cs="Times New Roman"/>
                <w:szCs w:val="20"/>
                <w:vertAlign w:val="subscript"/>
                <w:lang w:val="en-GB" w:eastAsia="zh-CN"/>
              </w:rPr>
              <w:t>margin</w:t>
            </w:r>
            <w:proofErr w:type="spellEnd"/>
            <w:r w:rsidRPr="009D4B89">
              <w:rPr>
                <w:rFonts w:eastAsia="SimSun" w:cs="Times New Roman"/>
                <w:szCs w:val="20"/>
                <w:lang w:val="en-GB" w:eastAsia="zh-CN"/>
              </w:rPr>
              <w:t xml:space="preserve"> = 0</w:t>
            </w:r>
            <w:r w:rsidRPr="009D4B89">
              <w:rPr>
                <w:rFonts w:eastAsia="SimSun" w:cs="Times New Roman"/>
                <w:szCs w:val="20"/>
                <w:lang w:eastAsia="zh-CN"/>
              </w:rPr>
              <w:t>, or</w:t>
            </w:r>
          </w:p>
          <w:p w:rsidRPr="009D4B89" w:rsidR="009D4B89" w:rsidP="009D4B89" w:rsidRDefault="009D4B89" w14:paraId="637DABAA" w14:textId="77777777">
            <w:pPr>
              <w:numPr>
                <w:ilvl w:val="0"/>
                <w:numId w:val="32"/>
              </w:numPr>
              <w:overflowPunct w:val="0"/>
              <w:autoSpaceDE w:val="0"/>
              <w:autoSpaceDN w:val="0"/>
              <w:adjustRightInd w:val="0"/>
              <w:spacing w:after="180"/>
              <w:jc w:val="left"/>
              <w:textAlignment w:val="baseline"/>
              <w:rPr>
                <w:rFonts w:eastAsia="MS Mincho" w:cs="Times New Roman"/>
                <w:szCs w:val="20"/>
                <w:lang w:eastAsia="zh-CN"/>
              </w:rPr>
            </w:pPr>
            <w:r w:rsidRPr="009D4B89">
              <w:rPr>
                <w:rFonts w:eastAsia="SimSun" w:cs="Times New Roman"/>
                <w:szCs w:val="20"/>
                <w:lang w:eastAsia="zh-CN"/>
              </w:rPr>
              <w:t xml:space="preserve">receive the PDCCH-order indicating RACH-based early TA acquisition to target cell with </w:t>
            </w:r>
            <w:proofErr w:type="spellStart"/>
            <w:r w:rsidRPr="009D4B89">
              <w:rPr>
                <w:rFonts w:eastAsia="SimSun" w:cs="Times New Roman"/>
                <w:szCs w:val="20"/>
                <w:lang w:eastAsia="zh-CN"/>
              </w:rPr>
              <w:t>T</w:t>
            </w:r>
            <w:r w:rsidRPr="009D4B89">
              <w:rPr>
                <w:rFonts w:eastAsia="SimSun" w:cs="Times New Roman"/>
                <w:szCs w:val="20"/>
                <w:vertAlign w:val="subscript"/>
                <w:lang w:eastAsia="zh-CN"/>
              </w:rPr>
              <w:t>firstSSB</w:t>
            </w:r>
            <w:proofErr w:type="spellEnd"/>
            <w:r w:rsidRPr="009D4B89">
              <w:rPr>
                <w:rFonts w:eastAsia="SimSun" w:cs="Times New Roman"/>
                <w:szCs w:val="20"/>
                <w:lang w:eastAsia="zh-CN"/>
              </w:rPr>
              <w:t xml:space="preserve"> = 0</w:t>
            </w:r>
          </w:p>
          <w:p w:rsidRPr="009D4B89" w:rsidR="009D4B89" w:rsidP="009D4B89" w:rsidRDefault="009D4B89" w14:paraId="672F8D45" w14:textId="77777777">
            <w:pPr>
              <w:spacing w:after="180"/>
              <w:jc w:val="left"/>
              <w:rPr>
                <w:rFonts w:eastAsia="SimSun" w:cs="Times New Roman"/>
                <w:szCs w:val="20"/>
                <w:lang w:eastAsia="zh-CN"/>
              </w:rPr>
            </w:pPr>
            <w:r w:rsidRPr="009D4B89">
              <w:rPr>
                <w:rFonts w:eastAsia="Malgun Gothic" w:cs="Times New Roman"/>
                <w:szCs w:val="20"/>
                <w:lang w:eastAsia="zh-CN"/>
              </w:rPr>
              <w:t>at the first slot that is after</w:t>
            </w:r>
            <w:r w:rsidRPr="009D4B89" w:rsidDel="00024E91">
              <w:rPr>
                <w:rFonts w:eastAsia="SimSun" w:cs="Times New Roman"/>
                <w:szCs w:val="20"/>
                <w:lang w:eastAsia="zh-CN"/>
              </w:rPr>
              <w:t xml:space="preserve"> </w:t>
            </w:r>
            <w:r w:rsidRPr="009D4B89">
              <w:rPr>
                <w:rFonts w:eastAsia="SimSun" w:cs="Times New Roman"/>
                <w:szCs w:val="20"/>
                <w:lang w:eastAsia="zh-CN"/>
              </w:rPr>
              <w:t>slot n+</w:t>
            </w:r>
            <w:r w:rsidRPr="009D4B89">
              <w:rPr>
                <w:rFonts w:eastAsia="Malgun Gothic" w:cs="Times New Roman"/>
                <w:szCs w:val="20"/>
                <w:lang w:val="en-GB" w:eastAsia="zh-CN"/>
              </w:rPr>
              <w:t xml:space="preserve"> T</w:t>
            </w:r>
            <w:r w:rsidRPr="009D4B89">
              <w:rPr>
                <w:rFonts w:eastAsia="Malgun Gothic" w:cs="Times New Roman"/>
                <w:szCs w:val="20"/>
                <w:vertAlign w:val="subscript"/>
                <w:lang w:val="en-GB" w:eastAsia="zh-CN"/>
              </w:rPr>
              <w:t>HARQ</w:t>
            </w:r>
            <w:r w:rsidRPr="009D4B89">
              <w:rPr>
                <w:rFonts w:eastAsia="Malgun Gothic" w:cs="Times New Roman"/>
                <w:szCs w:val="20"/>
                <w:lang w:val="en-GB" w:eastAsia="zh-CN"/>
              </w:rPr>
              <w:t xml:space="preserve"> +</w:t>
            </w:r>
            <w:r w:rsidRPr="009D4B89">
              <w:rPr>
                <w:rFonts w:eastAsia="Malgun Gothic" w:cs="Times New Roman"/>
                <w:szCs w:val="20"/>
                <w:lang w:eastAsia="zh-CN"/>
              </w:rPr>
              <w:t xml:space="preserve"> </w:t>
            </w:r>
            <m:oMath>
              <m:sSubSup>
                <m:sSubSupPr>
                  <m:ctrlPr>
                    <w:rPr>
                      <w:rFonts w:ascii="Cambria Math" w:hAnsi="Cambria Math" w:eastAsia="SimSun" w:cs="Times New Roman"/>
                      <w:szCs w:val="20"/>
                      <w:lang w:val="en-GB"/>
                    </w:rPr>
                  </m:ctrlPr>
                </m:sSubSupPr>
                <m:e>
                  <m:r>
                    <m:rPr>
                      <m:sty m:val="p"/>
                    </m:rPr>
                    <w:rPr>
                      <w:rFonts w:ascii="Cambria Math" w:hAnsi="Cambria Math" w:eastAsia="SimSun" w:cs="Times New Roman"/>
                      <w:szCs w:val="20"/>
                      <w:lang w:val="en-GB"/>
                    </w:rPr>
                    <m:t>3N</m:t>
                  </m:r>
                </m:e>
                <m:sub>
                  <m:r>
                    <m:rPr>
                      <m:sty m:val="p"/>
                    </m:rPr>
                    <w:rPr>
                      <w:rFonts w:ascii="Cambria Math" w:hAnsi="Cambria Math" w:eastAsia="SimSun" w:cs="Times New Roman"/>
                      <w:szCs w:val="20"/>
                      <w:lang w:val="en-GB"/>
                    </w:rPr>
                    <m:t>slot</m:t>
                  </m:r>
                </m:sub>
                <m:sup>
                  <m:r>
                    <m:rPr>
                      <m:sty m:val="p"/>
                    </m:rPr>
                    <w:rPr>
                      <w:rFonts w:ascii="Cambria Math" w:hAnsi="Cambria Math" w:eastAsia="SimSun" w:cs="Times New Roman"/>
                      <w:szCs w:val="20"/>
                      <w:lang w:val="en-GB"/>
                    </w:rPr>
                    <m:t>subframe,µ</m:t>
                  </m:r>
                </m:sup>
              </m:sSubSup>
            </m:oMath>
            <w:r w:rsidRPr="009D4B89">
              <w:rPr>
                <w:rFonts w:eastAsia="Malgun Gothic" w:cs="Times New Roman"/>
                <w:szCs w:val="20"/>
                <w:lang w:eastAsia="zh-CN"/>
              </w:rPr>
              <w:t xml:space="preserve">+ </w:t>
            </w:r>
            <w:proofErr w:type="spellStart"/>
            <w:r w:rsidRPr="009D4B89">
              <w:rPr>
                <w:rFonts w:eastAsia="Malgun Gothic" w:cs="Times New Roman"/>
                <w:szCs w:val="20"/>
                <w:lang w:eastAsia="zh-CN"/>
              </w:rPr>
              <w:t>TO</w:t>
            </w:r>
            <w:r w:rsidRPr="009D4B89">
              <w:rPr>
                <w:rFonts w:eastAsia="Malgun Gothic" w:cs="Times New Roman"/>
                <w:szCs w:val="20"/>
                <w:vertAlign w:val="subscript"/>
                <w:lang w:eastAsia="zh-CN"/>
              </w:rPr>
              <w:t>k</w:t>
            </w:r>
            <w:proofErr w:type="spellEnd"/>
            <w:r w:rsidRPr="009D4B89">
              <w:rPr>
                <w:rFonts w:eastAsia="Malgun Gothic" w:cs="Times New Roman"/>
                <w:szCs w:val="20"/>
                <w:lang w:eastAsia="zh-CN"/>
              </w:rPr>
              <w:t>* ([T</w:t>
            </w:r>
            <w:r w:rsidRPr="009D4B89">
              <w:rPr>
                <w:rFonts w:eastAsia="Malgun Gothic" w:cs="Times New Roman"/>
                <w:szCs w:val="20"/>
                <w:vertAlign w:val="subscript"/>
                <w:lang w:eastAsia="zh-CN"/>
              </w:rPr>
              <w:t>L1-</w:t>
            </w:r>
            <w:proofErr w:type="gramStart"/>
            <w:r w:rsidRPr="009D4B89">
              <w:rPr>
                <w:rFonts w:eastAsia="Malgun Gothic" w:cs="Times New Roman"/>
                <w:szCs w:val="20"/>
                <w:vertAlign w:val="subscript"/>
                <w:lang w:eastAsia="zh-CN"/>
              </w:rPr>
              <w:t xml:space="preserve">RSRP </w:t>
            </w:r>
            <w:r w:rsidRPr="009D4B89">
              <w:rPr>
                <w:rFonts w:eastAsia="Malgun Gothic" w:cs="Times New Roman"/>
                <w:szCs w:val="20"/>
                <w:lang w:eastAsia="zh-CN"/>
              </w:rPr>
              <w:t>]</w:t>
            </w:r>
            <w:proofErr w:type="gramEnd"/>
            <w:r w:rsidRPr="009D4B89">
              <w:rPr>
                <w:rFonts w:eastAsia="Malgun Gothic" w:cs="Times New Roman"/>
                <w:szCs w:val="20"/>
                <w:lang w:eastAsia="zh-CN"/>
              </w:rPr>
              <w:t>+ T</w:t>
            </w:r>
            <w:r w:rsidRPr="009D4B89">
              <w:rPr>
                <w:rFonts w:eastAsia="Malgun Gothic" w:cs="Times New Roman"/>
                <w:szCs w:val="20"/>
                <w:vertAlign w:val="subscript"/>
                <w:lang w:eastAsia="zh-CN"/>
              </w:rPr>
              <w:t>SSB-proc</w:t>
            </w:r>
            <w:r w:rsidRPr="009D4B89">
              <w:rPr>
                <w:rFonts w:eastAsia="Malgun Gothic" w:cs="Times New Roman"/>
                <w:szCs w:val="20"/>
                <w:lang w:eastAsia="zh-CN"/>
              </w:rPr>
              <w:t>)</w:t>
            </w:r>
            <w:r w:rsidRPr="009D4B89">
              <w:rPr>
                <w:rFonts w:eastAsia="SimSun" w:cs="Times New Roman"/>
                <w:szCs w:val="20"/>
                <w:lang w:eastAsia="zh-CN"/>
              </w:rPr>
              <w:t xml:space="preserve">/ </w:t>
            </w:r>
            <w:r w:rsidRPr="009D4B89">
              <w:rPr>
                <w:rFonts w:eastAsia="SimSun" w:cs="Times New Roman"/>
                <w:i/>
                <w:szCs w:val="20"/>
                <w:lang w:eastAsia="zh-CN"/>
              </w:rPr>
              <w:t>NR slot length</w:t>
            </w:r>
            <w:r w:rsidRPr="009D4B89">
              <w:rPr>
                <w:rFonts w:eastAsia="SimSun" w:cs="Times New Roman"/>
                <w:szCs w:val="20"/>
                <w:lang w:eastAsia="zh-CN"/>
              </w:rPr>
              <w:t>, where</w:t>
            </w:r>
          </w:p>
          <w:p w:rsidRPr="009D4B89" w:rsidR="009D4B89" w:rsidP="009D4B89" w:rsidRDefault="009D4B89" w14:paraId="264B7B37" w14:textId="77777777">
            <w:pPr>
              <w:spacing w:after="180"/>
              <w:ind w:left="568" w:hanging="284"/>
              <w:jc w:val="left"/>
              <w:rPr>
                <w:rFonts w:eastAsia="SimSun" w:cs="Times New Roman"/>
                <w:szCs w:val="20"/>
                <w:lang w:eastAsia="zh-CN"/>
              </w:rPr>
            </w:pPr>
            <w:r w:rsidRPr="009D4B89">
              <w:rPr>
                <w:rFonts w:eastAsia="SimSun" w:cs="Times New Roman"/>
                <w:szCs w:val="20"/>
                <w:lang w:val="en-GB" w:eastAsia="zh-CN"/>
              </w:rPr>
              <w:t>-</w:t>
            </w:r>
            <w:r w:rsidRPr="009D4B89">
              <w:rPr>
                <w:rFonts w:eastAsia="SimSun" w:cs="Times New Roman"/>
                <w:szCs w:val="20"/>
                <w:lang w:val="en-GB" w:eastAsia="zh-CN"/>
              </w:rPr>
              <w:tab/>
            </w:r>
            <w:r w:rsidRPr="009D4B89">
              <w:rPr>
                <w:rFonts w:eastAsia="SimSun" w:cs="Times New Roman"/>
                <w:szCs w:val="20"/>
                <w:lang w:val="en-GB"/>
              </w:rPr>
              <w:t>T</w:t>
            </w:r>
            <w:r w:rsidRPr="009D4B89">
              <w:rPr>
                <w:rFonts w:eastAsia="SimSun" w:cs="Times New Roman"/>
                <w:szCs w:val="20"/>
                <w:vertAlign w:val="subscript"/>
                <w:lang w:val="en-GB"/>
              </w:rPr>
              <w:t>HARQ</w:t>
            </w:r>
            <w:r w:rsidRPr="009D4B89">
              <w:rPr>
                <w:rFonts w:eastAsia="SimSun" w:cs="Times New Roman"/>
                <w:szCs w:val="20"/>
                <w:lang w:val="en-GB"/>
              </w:rPr>
              <w:t xml:space="preserve"> (in slot) is the timing between DL data transmission and acknowledgement as specified in TS 38.</w:t>
            </w:r>
            <w:r w:rsidRPr="009D4B89">
              <w:rPr>
                <w:rFonts w:hint="eastAsia" w:eastAsia="SimSun" w:cs="Times New Roman"/>
                <w:szCs w:val="20"/>
                <w:lang w:eastAsia="zh-CN"/>
              </w:rPr>
              <w:t>213</w:t>
            </w:r>
            <w:r w:rsidRPr="009D4B89">
              <w:rPr>
                <w:rFonts w:eastAsia="SimSun" w:cs="Times New Roman"/>
                <w:szCs w:val="20"/>
                <w:lang w:val="en-GB"/>
              </w:rPr>
              <w:t> [</w:t>
            </w:r>
            <w:r w:rsidRPr="009D4B89">
              <w:rPr>
                <w:rFonts w:hint="eastAsia" w:eastAsia="SimSun" w:cs="Times New Roman"/>
                <w:szCs w:val="20"/>
                <w:lang w:eastAsia="zh-CN"/>
              </w:rPr>
              <w:t>3</w:t>
            </w:r>
            <w:r w:rsidRPr="009D4B89">
              <w:rPr>
                <w:rFonts w:eastAsia="SimSun" w:cs="Times New Roman"/>
                <w:szCs w:val="20"/>
                <w:lang w:val="en-GB"/>
              </w:rPr>
              <w:t>]</w:t>
            </w:r>
          </w:p>
          <w:p w:rsidRPr="009D4B89" w:rsidR="009D4B89" w:rsidP="009D4B89" w:rsidRDefault="009D4B89" w14:paraId="38C2BD14" w14:textId="77777777">
            <w:pPr>
              <w:spacing w:after="180"/>
              <w:ind w:left="568" w:hanging="284"/>
              <w:jc w:val="left"/>
              <w:rPr>
                <w:rFonts w:eastAsia="SimSun" w:cs="Times New Roman"/>
                <w:szCs w:val="20"/>
                <w:lang w:eastAsia="zh-CN"/>
              </w:rPr>
            </w:pPr>
            <w:r w:rsidRPr="009D4B89">
              <w:rPr>
                <w:rFonts w:eastAsia="SimSun" w:cs="Times New Roman"/>
                <w:szCs w:val="20"/>
                <w:lang w:val="en-GB" w:eastAsia="zh-CN"/>
              </w:rPr>
              <w:t>[-</w:t>
            </w:r>
            <w:r w:rsidRPr="009D4B89">
              <w:rPr>
                <w:rFonts w:eastAsia="SimSun" w:cs="Times New Roman"/>
                <w:szCs w:val="20"/>
                <w:lang w:val="en-GB" w:eastAsia="zh-CN"/>
              </w:rPr>
              <w:tab/>
            </w:r>
            <w:r w:rsidRPr="009D4B89">
              <w:rPr>
                <w:rFonts w:eastAsia="SimSun" w:cs="Times New Roman"/>
                <w:szCs w:val="20"/>
                <w:lang w:eastAsia="zh-CN"/>
              </w:rPr>
              <w:t>T</w:t>
            </w:r>
            <w:r w:rsidRPr="009D4B89">
              <w:rPr>
                <w:rFonts w:eastAsia="SimSun" w:cs="Times New Roman"/>
                <w:szCs w:val="20"/>
                <w:vertAlign w:val="subscript"/>
                <w:lang w:eastAsia="zh-CN"/>
              </w:rPr>
              <w:t xml:space="preserve">L1-RSRP </w:t>
            </w:r>
            <w:r w:rsidRPr="009D4B89">
              <w:rPr>
                <w:rFonts w:eastAsia="SimSun" w:cs="Times New Roman"/>
                <w:szCs w:val="20"/>
                <w:lang w:eastAsia="zh-CN"/>
              </w:rPr>
              <w:t>is measurement period for SSB-based L1-RSRP after MAC CE command is decoded by the UE; The SSB shall be the associated to the activated TCI state]</w:t>
            </w:r>
          </w:p>
          <w:p w:rsidRPr="009D4B89" w:rsidR="009D4B89" w:rsidP="009D4B89" w:rsidRDefault="009D4B89" w14:paraId="21DC88C7" w14:textId="77777777">
            <w:pPr>
              <w:spacing w:after="180"/>
              <w:ind w:left="568" w:hanging="284"/>
              <w:jc w:val="left"/>
              <w:rPr>
                <w:rFonts w:eastAsia="SimSun" w:cs="Times New Roman"/>
                <w:szCs w:val="20"/>
                <w:lang w:eastAsia="zh-CN"/>
              </w:rPr>
            </w:pPr>
            <w:r w:rsidRPr="009D4B89">
              <w:rPr>
                <w:rFonts w:eastAsia="SimSun" w:cs="Times New Roman"/>
                <w:szCs w:val="20"/>
                <w:lang w:val="en-GB" w:eastAsia="zh-CN"/>
              </w:rPr>
              <w:t>-</w:t>
            </w:r>
            <w:r w:rsidRPr="009D4B89">
              <w:rPr>
                <w:rFonts w:eastAsia="SimSun" w:cs="Times New Roman"/>
                <w:szCs w:val="20"/>
                <w:lang w:val="en-GB" w:eastAsia="zh-CN"/>
              </w:rPr>
              <w:tab/>
            </w:r>
            <w:r w:rsidRPr="009D4B89">
              <w:rPr>
                <w:rFonts w:eastAsia="SimSun" w:cs="Times New Roman"/>
                <w:szCs w:val="20"/>
                <w:lang w:eastAsia="zh-CN"/>
              </w:rPr>
              <w:t>T</w:t>
            </w:r>
            <w:r w:rsidRPr="009D4B89">
              <w:rPr>
                <w:rFonts w:eastAsia="SimSun" w:cs="Times New Roman"/>
                <w:szCs w:val="20"/>
                <w:vertAlign w:val="subscript"/>
                <w:lang w:eastAsia="zh-CN"/>
              </w:rPr>
              <w:t xml:space="preserve">SSB-proc </w:t>
            </w:r>
            <w:r w:rsidRPr="009D4B89">
              <w:rPr>
                <w:rFonts w:eastAsia="SimSun" w:cs="Times New Roman"/>
                <w:szCs w:val="20"/>
                <w:lang w:eastAsia="zh-CN"/>
              </w:rPr>
              <w:t>= 2 </w:t>
            </w:r>
            <w:proofErr w:type="gramStart"/>
            <w:r w:rsidRPr="009D4B89">
              <w:rPr>
                <w:rFonts w:eastAsia="SimSun" w:cs="Times New Roman"/>
                <w:szCs w:val="20"/>
                <w:lang w:eastAsia="zh-CN"/>
              </w:rPr>
              <w:t>ms;</w:t>
            </w:r>
            <w:proofErr w:type="gramEnd"/>
            <w:r w:rsidRPr="009D4B89">
              <w:rPr>
                <w:rFonts w:eastAsia="SimSun" w:cs="Times New Roman"/>
                <w:szCs w:val="20"/>
                <w:lang w:eastAsia="zh-CN"/>
              </w:rPr>
              <w:t xml:space="preserve"> </w:t>
            </w:r>
          </w:p>
          <w:p w:rsidRPr="009D4B89" w:rsidR="009D4B89" w:rsidP="009D4B89" w:rsidRDefault="009D4B89" w14:paraId="2477EBF9" w14:textId="77777777">
            <w:pPr>
              <w:spacing w:after="180"/>
              <w:ind w:left="568" w:hanging="284"/>
              <w:jc w:val="left"/>
              <w:rPr>
                <w:rFonts w:eastAsia="SimSun" w:cs="Times New Roman"/>
                <w:szCs w:val="20"/>
                <w:lang w:eastAsia="zh-CN"/>
              </w:rPr>
            </w:pPr>
            <w:r w:rsidRPr="009D4B89">
              <w:rPr>
                <w:rFonts w:eastAsia="SimSun" w:cs="Times New Roman"/>
                <w:szCs w:val="20"/>
                <w:lang w:val="en-GB"/>
              </w:rPr>
              <w:t>-</w:t>
            </w:r>
            <w:r w:rsidRPr="009D4B89">
              <w:rPr>
                <w:rFonts w:eastAsia="SimSun" w:cs="Times New Roman"/>
                <w:szCs w:val="20"/>
                <w:lang w:val="en-GB"/>
              </w:rPr>
              <w:tab/>
            </w:r>
            <w:proofErr w:type="spellStart"/>
            <w:r w:rsidRPr="009D4B89">
              <w:rPr>
                <w:rFonts w:eastAsia="SimSun" w:cs="Times New Roman"/>
                <w:szCs w:val="20"/>
              </w:rPr>
              <w:t>TO</w:t>
            </w:r>
            <w:r w:rsidRPr="009D4B89">
              <w:rPr>
                <w:rFonts w:eastAsia="SimSun" w:cs="Times New Roman"/>
                <w:szCs w:val="20"/>
                <w:vertAlign w:val="subscript"/>
              </w:rPr>
              <w:t>k</w:t>
            </w:r>
            <w:proofErr w:type="spellEnd"/>
            <w:r w:rsidRPr="009D4B89">
              <w:rPr>
                <w:rFonts w:eastAsia="SimSun" w:cs="Times New Roman"/>
                <w:szCs w:val="20"/>
              </w:rPr>
              <w:t xml:space="preserve"> = 1 if target TCI state is not in the active TCI state list for candidate cell, 0 otherwise</w:t>
            </w:r>
            <w:r w:rsidRPr="009D4B89">
              <w:rPr>
                <w:rFonts w:eastAsia="SimSun" w:cs="Times New Roman"/>
                <w:szCs w:val="20"/>
                <w:lang w:eastAsia="zh-CN"/>
              </w:rPr>
              <w:t>.</w:t>
            </w:r>
          </w:p>
          <w:p w:rsidR="009D4B89" w:rsidP="00EA70DD" w:rsidRDefault="009D4B89" w14:paraId="446BF5CE" w14:textId="77777777"/>
        </w:tc>
      </w:tr>
    </w:tbl>
    <w:p w:rsidR="009D4B89" w:rsidP="00EA70DD" w:rsidRDefault="009D4B89" w14:paraId="6CBFDE0C" w14:textId="77777777"/>
    <w:p w:rsidR="001A3AAE" w:rsidP="00EA70DD" w:rsidRDefault="00827609" w14:paraId="4858703E" w14:textId="487D1456">
      <w:pPr>
        <w:rPr>
          <w:rFonts w:eastAsia="Malgun Gothic" w:cs="Times New Roman"/>
          <w:szCs w:val="20"/>
          <w:lang w:eastAsia="zh-CN"/>
        </w:rPr>
      </w:pPr>
      <w:r>
        <w:t>The</w:t>
      </w:r>
      <w:r w:rsidR="009D4B89">
        <w:t xml:space="preserve"> T/F tracking component in the </w:t>
      </w:r>
      <w:r>
        <w:t xml:space="preserve">proposed </w:t>
      </w:r>
      <w:r w:rsidR="009D4B89">
        <w:t>equation is [</w:t>
      </w:r>
      <w:r w:rsidRPr="009D4B89" w:rsidR="009D4B89">
        <w:rPr>
          <w:rFonts w:eastAsia="Malgun Gothic" w:cs="Times New Roman"/>
          <w:szCs w:val="20"/>
          <w:lang w:eastAsia="zh-CN"/>
        </w:rPr>
        <w:t>T</w:t>
      </w:r>
      <w:r w:rsidRPr="009D4B89" w:rsidR="009D4B89">
        <w:rPr>
          <w:rFonts w:eastAsia="Malgun Gothic" w:cs="Times New Roman"/>
          <w:szCs w:val="20"/>
          <w:vertAlign w:val="subscript"/>
          <w:lang w:eastAsia="zh-CN"/>
        </w:rPr>
        <w:t>L1-RSRP</w:t>
      </w:r>
      <w:r w:rsidR="009D4B89">
        <w:rPr>
          <w:rFonts w:eastAsia="Malgun Gothic" w:cs="Times New Roman"/>
          <w:szCs w:val="20"/>
          <w:lang w:eastAsia="zh-CN"/>
        </w:rPr>
        <w:t xml:space="preserve">] instead of </w:t>
      </w:r>
      <w:proofErr w:type="spellStart"/>
      <w:r w:rsidRPr="009D4B89" w:rsidR="009D4B89">
        <w:rPr>
          <w:rFonts w:eastAsia="Malgun Gothic" w:cs="Times New Roman"/>
          <w:szCs w:val="20"/>
          <w:lang w:eastAsia="zh-CN"/>
        </w:rPr>
        <w:t>T</w:t>
      </w:r>
      <w:r w:rsidR="009D4B89">
        <w:rPr>
          <w:rFonts w:eastAsia="Malgun Gothic" w:cs="Times New Roman"/>
          <w:szCs w:val="20"/>
          <w:vertAlign w:val="subscript"/>
          <w:lang w:eastAsia="zh-CN"/>
        </w:rPr>
        <w:t>first</w:t>
      </w:r>
      <w:proofErr w:type="spellEnd"/>
      <w:r w:rsidR="009D4B89">
        <w:rPr>
          <w:rFonts w:eastAsia="Malgun Gothic" w:cs="Times New Roman"/>
          <w:szCs w:val="20"/>
          <w:vertAlign w:val="subscript"/>
          <w:lang w:eastAsia="zh-CN"/>
        </w:rPr>
        <w:t>-SSB</w:t>
      </w:r>
      <w:r w:rsidR="009D4B89">
        <w:rPr>
          <w:rFonts w:eastAsia="Malgun Gothic" w:cs="Times New Roman"/>
          <w:szCs w:val="20"/>
          <w:lang w:eastAsia="zh-CN"/>
        </w:rPr>
        <w:t xml:space="preserve"> </w:t>
      </w:r>
      <w:r w:rsidR="00924166">
        <w:rPr>
          <w:rFonts w:eastAsia="Malgun Gothic" w:cs="Times New Roman"/>
          <w:szCs w:val="20"/>
          <w:lang w:eastAsia="zh-CN"/>
        </w:rPr>
        <w:t xml:space="preserve">as </w:t>
      </w:r>
      <w:r w:rsidR="009D4B89">
        <w:rPr>
          <w:rFonts w:eastAsia="Malgun Gothic" w:cs="Times New Roman"/>
          <w:szCs w:val="20"/>
          <w:lang w:eastAsia="zh-CN"/>
        </w:rPr>
        <w:t>in the existing MAC-CE based TCI state switching requirements. This was proposed</w:t>
      </w:r>
      <w:r w:rsidR="009716FE">
        <w:rPr>
          <w:rFonts w:eastAsia="Malgun Gothic" w:cs="Times New Roman"/>
          <w:szCs w:val="20"/>
          <w:lang w:eastAsia="zh-CN"/>
        </w:rPr>
        <w:t>,</w:t>
      </w:r>
      <w:r w:rsidR="009D4B89">
        <w:rPr>
          <w:rFonts w:eastAsia="Malgun Gothic" w:cs="Times New Roman"/>
          <w:szCs w:val="20"/>
          <w:lang w:eastAsia="zh-CN"/>
        </w:rPr>
        <w:t xml:space="preserve"> </w:t>
      </w:r>
      <w:r w:rsidR="00A47589">
        <w:rPr>
          <w:rFonts w:eastAsia="Malgun Gothic" w:cs="Times New Roman"/>
          <w:szCs w:val="20"/>
          <w:lang w:eastAsia="zh-CN"/>
        </w:rPr>
        <w:t>in our understanding</w:t>
      </w:r>
      <w:r w:rsidR="009716FE">
        <w:rPr>
          <w:rFonts w:eastAsia="Malgun Gothic" w:cs="Times New Roman"/>
          <w:szCs w:val="20"/>
          <w:lang w:eastAsia="zh-CN"/>
        </w:rPr>
        <w:t>,</w:t>
      </w:r>
      <w:r w:rsidR="00A47589">
        <w:rPr>
          <w:rFonts w:eastAsia="Malgun Gothic" w:cs="Times New Roman"/>
          <w:szCs w:val="20"/>
          <w:lang w:eastAsia="zh-CN"/>
        </w:rPr>
        <w:t xml:space="preserve"> </w:t>
      </w:r>
      <w:r w:rsidR="009D4B89">
        <w:rPr>
          <w:rFonts w:eastAsia="Malgun Gothic" w:cs="Times New Roman"/>
          <w:szCs w:val="20"/>
          <w:lang w:eastAsia="zh-CN"/>
        </w:rPr>
        <w:t>to avoid impact to the ongoing L1-RSRP measurements</w:t>
      </w:r>
      <w:r w:rsidR="009716FE">
        <w:rPr>
          <w:rFonts w:eastAsia="Malgun Gothic" w:cs="Times New Roman"/>
          <w:szCs w:val="20"/>
          <w:lang w:eastAsia="zh-CN"/>
        </w:rPr>
        <w:t>,</w:t>
      </w:r>
      <w:r w:rsidR="009D4B89">
        <w:rPr>
          <w:rFonts w:eastAsia="Malgun Gothic" w:cs="Times New Roman"/>
          <w:szCs w:val="20"/>
          <w:lang w:eastAsia="zh-CN"/>
        </w:rPr>
        <w:t xml:space="preserve"> </w:t>
      </w:r>
      <w:proofErr w:type="gramStart"/>
      <w:r w:rsidR="009D4B89">
        <w:rPr>
          <w:rFonts w:eastAsia="Malgun Gothic" w:cs="Times New Roman"/>
          <w:szCs w:val="20"/>
          <w:lang w:eastAsia="zh-CN"/>
        </w:rPr>
        <w:t>i.e.</w:t>
      </w:r>
      <w:proofErr w:type="gramEnd"/>
      <w:r w:rsidR="009D4B89">
        <w:rPr>
          <w:rFonts w:eastAsia="Malgun Gothic" w:cs="Times New Roman"/>
          <w:szCs w:val="20"/>
          <w:lang w:eastAsia="zh-CN"/>
        </w:rPr>
        <w:t xml:space="preserve"> not forcing the UE to measure the first SSB </w:t>
      </w:r>
      <w:r w:rsidR="0038449A">
        <w:rPr>
          <w:rFonts w:eastAsia="Malgun Gothic" w:cs="Times New Roman"/>
          <w:szCs w:val="20"/>
          <w:lang w:eastAsia="zh-CN"/>
        </w:rPr>
        <w:t>for</w:t>
      </w:r>
      <w:r w:rsidR="009D4B89">
        <w:rPr>
          <w:rFonts w:eastAsia="Malgun Gothic" w:cs="Times New Roman"/>
          <w:szCs w:val="20"/>
          <w:lang w:eastAsia="zh-CN"/>
        </w:rPr>
        <w:t xml:space="preserve"> the </w:t>
      </w:r>
      <w:r w:rsidR="0038449A">
        <w:rPr>
          <w:rFonts w:eastAsia="Malgun Gothic" w:cs="Times New Roman"/>
          <w:szCs w:val="20"/>
          <w:lang w:eastAsia="zh-CN"/>
        </w:rPr>
        <w:t xml:space="preserve">activated </w:t>
      </w:r>
      <w:r w:rsidR="009D4B89">
        <w:rPr>
          <w:rFonts w:eastAsia="Malgun Gothic" w:cs="Times New Roman"/>
          <w:szCs w:val="20"/>
          <w:lang w:eastAsia="zh-CN"/>
        </w:rPr>
        <w:t>candidate TCI state if it is not the SSB that the UE would otherwise measure at that time instant.</w:t>
      </w:r>
      <w:r w:rsidR="001A3AAE">
        <w:rPr>
          <w:rFonts w:eastAsia="Malgun Gothic" w:cs="Times New Roman"/>
          <w:szCs w:val="20"/>
          <w:lang w:eastAsia="zh-CN"/>
        </w:rPr>
        <w:t xml:space="preserve"> </w:t>
      </w:r>
      <w:r w:rsidR="00982B24">
        <w:rPr>
          <w:rFonts w:eastAsia="Malgun Gothic" w:cs="Times New Roman"/>
          <w:szCs w:val="20"/>
          <w:lang w:eastAsia="zh-CN"/>
        </w:rPr>
        <w:t xml:space="preserve">In the last RAN4 meeting, it was discussed and agreed that after TCI state activation, the UE is required to measure the serving cell and </w:t>
      </w:r>
      <w:r w:rsidR="00445E5C">
        <w:rPr>
          <w:rFonts w:eastAsia="Malgun Gothic" w:cs="Times New Roman"/>
          <w:szCs w:val="20"/>
          <w:lang w:eastAsia="zh-CN"/>
        </w:rPr>
        <w:t>one candidate cell</w:t>
      </w:r>
      <w:r w:rsidR="00375240">
        <w:rPr>
          <w:rFonts w:eastAsia="Malgun Gothic" w:cs="Times New Roman"/>
          <w:szCs w:val="20"/>
          <w:lang w:eastAsia="zh-CN"/>
        </w:rPr>
        <w:t xml:space="preserve"> (when RTD&gt;CP)</w:t>
      </w:r>
      <w:r w:rsidR="00445E5C">
        <w:rPr>
          <w:rFonts w:eastAsia="Malgun Gothic" w:cs="Times New Roman"/>
          <w:szCs w:val="20"/>
          <w:lang w:eastAsia="zh-CN"/>
        </w:rPr>
        <w:t xml:space="preserve">. Therefore, </w:t>
      </w:r>
      <w:r w:rsidR="00FC3EED">
        <w:rPr>
          <w:rFonts w:eastAsia="Malgun Gothic" w:cs="Times New Roman"/>
          <w:szCs w:val="20"/>
          <w:lang w:eastAsia="zh-CN"/>
        </w:rPr>
        <w:t>U</w:t>
      </w:r>
      <w:r w:rsidR="00375240">
        <w:rPr>
          <w:rFonts w:eastAsia="Malgun Gothic" w:cs="Times New Roman"/>
          <w:szCs w:val="20"/>
          <w:lang w:eastAsia="zh-CN"/>
        </w:rPr>
        <w:t>E</w:t>
      </w:r>
      <w:r w:rsidR="00FC3EED">
        <w:rPr>
          <w:rFonts w:eastAsia="Malgun Gothic" w:cs="Times New Roman"/>
          <w:szCs w:val="20"/>
          <w:lang w:eastAsia="zh-CN"/>
        </w:rPr>
        <w:t xml:space="preserve"> measurement behavior may change after receiving the TCI state activation command, and </w:t>
      </w:r>
      <w:r w:rsidR="00445E5C">
        <w:rPr>
          <w:rFonts w:eastAsia="Malgun Gothic" w:cs="Times New Roman"/>
          <w:szCs w:val="20"/>
          <w:lang w:eastAsia="zh-CN"/>
        </w:rPr>
        <w:t xml:space="preserve">if the UE </w:t>
      </w:r>
      <w:r w:rsidR="00A45AF9">
        <w:rPr>
          <w:rFonts w:eastAsia="Malgun Gothic" w:cs="Times New Roman"/>
          <w:szCs w:val="20"/>
          <w:lang w:eastAsia="zh-CN"/>
        </w:rPr>
        <w:t xml:space="preserve">follows this requirement, it will be measuring only the </w:t>
      </w:r>
      <w:r w:rsidR="00E75C54">
        <w:rPr>
          <w:rFonts w:eastAsia="Malgun Gothic" w:cs="Times New Roman"/>
          <w:szCs w:val="20"/>
          <w:lang w:eastAsia="zh-CN"/>
        </w:rPr>
        <w:t>candidate cell for which TCI state is activated after receiving the TCI state activation command</w:t>
      </w:r>
      <w:r w:rsidR="00397F67">
        <w:rPr>
          <w:rFonts w:eastAsia="Malgun Gothic" w:cs="Times New Roman"/>
          <w:szCs w:val="20"/>
          <w:lang w:eastAsia="zh-CN"/>
        </w:rPr>
        <w:t xml:space="preserve"> (+ the serving cell)</w:t>
      </w:r>
      <w:r w:rsidR="00E75C54">
        <w:rPr>
          <w:rFonts w:eastAsia="Malgun Gothic" w:cs="Times New Roman"/>
          <w:szCs w:val="20"/>
          <w:lang w:eastAsia="zh-CN"/>
        </w:rPr>
        <w:t xml:space="preserve">. Therefore, </w:t>
      </w:r>
      <w:r w:rsidR="00FC3EED">
        <w:rPr>
          <w:rFonts w:eastAsia="Malgun Gothic" w:cs="Times New Roman"/>
          <w:szCs w:val="20"/>
          <w:lang w:eastAsia="zh-CN"/>
        </w:rPr>
        <w:t xml:space="preserve">we think it is reasonable to assume that </w:t>
      </w:r>
      <w:r w:rsidR="003C2CBE">
        <w:rPr>
          <w:rFonts w:eastAsia="Malgun Gothic" w:cs="Times New Roman"/>
          <w:szCs w:val="20"/>
          <w:lang w:eastAsia="zh-CN"/>
        </w:rPr>
        <w:t xml:space="preserve">the UE </w:t>
      </w:r>
      <w:r w:rsidR="00516EAF">
        <w:rPr>
          <w:rFonts w:eastAsia="Malgun Gothic" w:cs="Times New Roman"/>
          <w:szCs w:val="20"/>
          <w:lang w:eastAsia="zh-CN"/>
        </w:rPr>
        <w:t>can use</w:t>
      </w:r>
      <w:r w:rsidR="003E6F37">
        <w:rPr>
          <w:rFonts w:eastAsia="Malgun Gothic" w:cs="Times New Roman"/>
          <w:szCs w:val="20"/>
          <w:lang w:eastAsia="zh-CN"/>
        </w:rPr>
        <w:t xml:space="preserve"> the first SSB for DL synchronization</w:t>
      </w:r>
      <w:r w:rsidR="00AC26C6">
        <w:rPr>
          <w:rFonts w:eastAsia="Malgun Gothic" w:cs="Times New Roman"/>
          <w:szCs w:val="20"/>
          <w:lang w:eastAsia="zh-CN"/>
        </w:rPr>
        <w:t xml:space="preserve"> with the SSB that is associated to the activated TCI state</w:t>
      </w:r>
      <w:r w:rsidR="00516EAF">
        <w:rPr>
          <w:rFonts w:eastAsia="Malgun Gothic" w:cs="Times New Roman"/>
          <w:szCs w:val="20"/>
          <w:lang w:eastAsia="zh-CN"/>
        </w:rPr>
        <w:t xml:space="preserve">, and that </w:t>
      </w:r>
      <w:r w:rsidR="00BC0B9D">
        <w:rPr>
          <w:rFonts w:eastAsia="Malgun Gothic" w:cs="Times New Roman"/>
          <w:szCs w:val="20"/>
          <w:lang w:eastAsia="zh-CN"/>
        </w:rPr>
        <w:t xml:space="preserve">would not cause </w:t>
      </w:r>
      <w:r w:rsidR="00AC26C6">
        <w:rPr>
          <w:rFonts w:eastAsia="Malgun Gothic" w:cs="Times New Roman"/>
          <w:szCs w:val="20"/>
          <w:lang w:eastAsia="zh-CN"/>
        </w:rPr>
        <w:t xml:space="preserve">problems </w:t>
      </w:r>
      <w:r w:rsidR="00BC0B9D">
        <w:rPr>
          <w:rFonts w:eastAsia="Malgun Gothic" w:cs="Times New Roman"/>
          <w:szCs w:val="20"/>
          <w:lang w:eastAsia="zh-CN"/>
        </w:rPr>
        <w:t xml:space="preserve">to the ongoing measurements. </w:t>
      </w:r>
      <w:r w:rsidR="00710640">
        <w:rPr>
          <w:rFonts w:eastAsia="Malgun Gothic" w:cs="Times New Roman"/>
          <w:szCs w:val="20"/>
          <w:lang w:eastAsia="zh-CN"/>
        </w:rPr>
        <w:t>Hence,</w:t>
      </w:r>
      <w:r w:rsidR="00372858">
        <w:rPr>
          <w:rFonts w:eastAsia="Malgun Gothic" w:cs="Times New Roman"/>
          <w:szCs w:val="20"/>
          <w:lang w:eastAsia="zh-CN"/>
        </w:rPr>
        <w:t xml:space="preserve"> </w:t>
      </w:r>
      <w:r w:rsidR="00DD1443">
        <w:rPr>
          <w:rFonts w:eastAsia="Malgun Gothic" w:cs="Times New Roman"/>
          <w:szCs w:val="20"/>
          <w:lang w:eastAsia="zh-CN"/>
        </w:rPr>
        <w:t xml:space="preserve">in the TCI state activation delay formula, </w:t>
      </w:r>
      <w:proofErr w:type="spellStart"/>
      <w:r w:rsidR="00DD1443">
        <w:rPr>
          <w:rFonts w:eastAsia="Malgun Gothic" w:cs="Times New Roman"/>
          <w:szCs w:val="20"/>
          <w:lang w:eastAsia="zh-CN"/>
        </w:rPr>
        <w:t>T</w:t>
      </w:r>
      <w:r w:rsidRPr="0091000B" w:rsidR="00DD1443">
        <w:rPr>
          <w:rFonts w:eastAsia="Malgun Gothic" w:cs="Times New Roman"/>
          <w:szCs w:val="20"/>
          <w:vertAlign w:val="subscript"/>
          <w:lang w:eastAsia="zh-CN"/>
        </w:rPr>
        <w:t>first</w:t>
      </w:r>
      <w:proofErr w:type="spellEnd"/>
      <w:r w:rsidRPr="0091000B" w:rsidR="00DD1443">
        <w:rPr>
          <w:rFonts w:eastAsia="Malgun Gothic" w:cs="Times New Roman"/>
          <w:szCs w:val="20"/>
          <w:vertAlign w:val="subscript"/>
          <w:lang w:eastAsia="zh-CN"/>
        </w:rPr>
        <w:t xml:space="preserve">-SSB </w:t>
      </w:r>
      <w:r w:rsidR="00460717">
        <w:rPr>
          <w:rFonts w:eastAsia="Malgun Gothic" w:cs="Times New Roman"/>
          <w:szCs w:val="20"/>
          <w:lang w:eastAsia="zh-CN"/>
        </w:rPr>
        <w:t>or more commonly,</w:t>
      </w:r>
      <w:r w:rsidRPr="00460717" w:rsidR="00460717">
        <w:rPr>
          <w:rFonts w:eastAsia="Malgun Gothic" w:cs="Times New Roman"/>
          <w:szCs w:val="20"/>
          <w:lang w:eastAsia="zh-CN"/>
        </w:rPr>
        <w:t xml:space="preserve"> </w:t>
      </w:r>
      <w:proofErr w:type="spellStart"/>
      <w:r w:rsidRPr="009D4B89" w:rsidR="00460717">
        <w:rPr>
          <w:rFonts w:eastAsia="Malgun Gothic" w:cs="Times New Roman"/>
          <w:szCs w:val="20"/>
          <w:lang w:eastAsia="zh-CN"/>
        </w:rPr>
        <w:t>T</w:t>
      </w:r>
      <w:r w:rsidR="00460717">
        <w:rPr>
          <w:rFonts w:eastAsia="Malgun Gothic" w:cs="Times New Roman"/>
          <w:szCs w:val="20"/>
          <w:vertAlign w:val="subscript"/>
          <w:lang w:eastAsia="zh-CN"/>
        </w:rPr>
        <w:t>first</w:t>
      </w:r>
      <w:proofErr w:type="spellEnd"/>
      <w:r w:rsidR="00460717">
        <w:rPr>
          <w:rFonts w:eastAsia="Malgun Gothic" w:cs="Times New Roman"/>
          <w:szCs w:val="20"/>
          <w:vertAlign w:val="subscript"/>
          <w:lang w:eastAsia="zh-CN"/>
        </w:rPr>
        <w:t>-RS</w:t>
      </w:r>
      <w:r w:rsidR="00460717">
        <w:rPr>
          <w:rFonts w:eastAsia="Malgun Gothic" w:cs="Times New Roman"/>
          <w:szCs w:val="20"/>
          <w:lang w:eastAsia="zh-CN"/>
        </w:rPr>
        <w:t xml:space="preserve">, </w:t>
      </w:r>
      <w:r w:rsidR="00DD1443">
        <w:rPr>
          <w:rFonts w:eastAsia="Malgun Gothic" w:cs="Times New Roman"/>
          <w:szCs w:val="20"/>
          <w:lang w:eastAsia="zh-CN"/>
        </w:rPr>
        <w:t xml:space="preserve">can be used instead of </w:t>
      </w:r>
      <w:r w:rsidR="0091000B">
        <w:rPr>
          <w:rFonts w:eastAsia="Malgun Gothic" w:cs="Times New Roman"/>
          <w:szCs w:val="20"/>
          <w:lang w:eastAsia="zh-CN"/>
        </w:rPr>
        <w:t>T</w:t>
      </w:r>
      <w:r w:rsidRPr="0091000B" w:rsidR="0091000B">
        <w:rPr>
          <w:rFonts w:eastAsia="Malgun Gothic" w:cs="Times New Roman"/>
          <w:szCs w:val="20"/>
          <w:vertAlign w:val="subscript"/>
          <w:lang w:eastAsia="zh-CN"/>
        </w:rPr>
        <w:t>L1-RSRP</w:t>
      </w:r>
      <w:r w:rsidR="0091000B">
        <w:rPr>
          <w:rFonts w:eastAsia="Malgun Gothic" w:cs="Times New Roman"/>
          <w:szCs w:val="20"/>
          <w:lang w:eastAsia="zh-CN"/>
        </w:rPr>
        <w:t>.</w:t>
      </w:r>
    </w:p>
    <w:p w:rsidR="00AF1744" w:rsidP="00EA70DD" w:rsidRDefault="00AF1744" w14:paraId="293EEADD" w14:textId="74E03AEC">
      <w:pPr>
        <w:rPr>
          <w:rFonts w:eastAsia="Malgun Gothic" w:cs="Times New Roman"/>
          <w:szCs w:val="20"/>
          <w:lang w:eastAsia="zh-CN"/>
        </w:rPr>
      </w:pPr>
      <w:r>
        <w:rPr>
          <w:rFonts w:eastAsia="Malgun Gothic" w:cs="Times New Roman"/>
          <w:szCs w:val="20"/>
          <w:lang w:eastAsia="zh-CN"/>
        </w:rPr>
        <w:t>Furthermore, the proposed draft CR only covered TCI state activation delay for DL</w:t>
      </w:r>
      <w:r w:rsidR="00793EB6">
        <w:rPr>
          <w:rFonts w:eastAsia="Malgun Gothic" w:cs="Times New Roman"/>
          <w:szCs w:val="20"/>
          <w:lang w:eastAsia="zh-CN"/>
        </w:rPr>
        <w:t>. As we will discuss in the next section, we think UL TCI state activation is equally important at the early TCI state activation to ensure that the UE does not need additional time for this during the cell switch. Therefore, we think the early TCI state switching requirement should be defined commonly for DL and UL.</w:t>
      </w:r>
    </w:p>
    <w:p w:rsidR="0091000B" w:rsidP="0091000B" w:rsidRDefault="00460717" w14:paraId="331CA8AB" w14:textId="4D53D117">
      <w:pPr>
        <w:pStyle w:val="RAN4proposal"/>
        <w:rPr>
          <w:rFonts w:eastAsia="SimSun" w:cs="Times New Roman"/>
          <w:iCs w:val="0"/>
          <w:szCs w:val="20"/>
          <w:lang w:eastAsia="zh-CN"/>
        </w:rPr>
      </w:pPr>
      <w:bookmarkStart w:name="_Toc149903157" w:id="1"/>
      <w:r>
        <w:rPr>
          <w:lang w:eastAsia="zh-CN"/>
        </w:rPr>
        <w:t xml:space="preserve">Early </w:t>
      </w:r>
      <w:r w:rsidR="00FF7F16">
        <w:rPr>
          <w:lang w:eastAsia="zh-CN"/>
        </w:rPr>
        <w:t>DL</w:t>
      </w:r>
      <w:r w:rsidR="00AF1744">
        <w:rPr>
          <w:lang w:eastAsia="zh-CN"/>
        </w:rPr>
        <w:t>/UL</w:t>
      </w:r>
      <w:r w:rsidR="00FF7F16">
        <w:rPr>
          <w:lang w:eastAsia="zh-CN"/>
        </w:rPr>
        <w:t xml:space="preserve"> </w:t>
      </w:r>
      <w:r>
        <w:rPr>
          <w:lang w:eastAsia="zh-CN"/>
        </w:rPr>
        <w:t xml:space="preserve">TCI state activation delay </w:t>
      </w:r>
      <w:r w:rsidR="00513B14">
        <w:rPr>
          <w:lang w:eastAsia="zh-CN"/>
        </w:rPr>
        <w:t xml:space="preserve">for a known TCI state </w:t>
      </w:r>
      <w:r>
        <w:rPr>
          <w:lang w:eastAsia="zh-CN"/>
        </w:rPr>
        <w:t xml:space="preserve">is defined as </w:t>
      </w:r>
      <w:r w:rsidRPr="009D4B89">
        <w:rPr>
          <w:rFonts w:eastAsia="SimSun" w:cs="Times New Roman"/>
          <w:szCs w:val="20"/>
          <w:lang w:eastAsia="zh-CN"/>
        </w:rPr>
        <w:t>n+</w:t>
      </w:r>
      <w:r w:rsidRPr="009D4B89">
        <w:rPr>
          <w:rFonts w:eastAsia="Malgun Gothic" w:cs="Times New Roman"/>
          <w:szCs w:val="20"/>
          <w:lang w:val="en-GB" w:eastAsia="zh-CN"/>
        </w:rPr>
        <w:t xml:space="preserve"> T</w:t>
      </w:r>
      <w:r w:rsidRPr="009D4B89">
        <w:rPr>
          <w:rFonts w:eastAsia="Malgun Gothic" w:cs="Times New Roman"/>
          <w:szCs w:val="20"/>
          <w:vertAlign w:val="subscript"/>
          <w:lang w:val="en-GB" w:eastAsia="zh-CN"/>
        </w:rPr>
        <w:t>HARQ</w:t>
      </w:r>
      <w:r w:rsidRPr="009D4B89">
        <w:rPr>
          <w:rFonts w:eastAsia="Malgun Gothic" w:cs="Times New Roman"/>
          <w:szCs w:val="20"/>
          <w:lang w:val="en-GB" w:eastAsia="zh-CN"/>
        </w:rPr>
        <w:t xml:space="preserve"> +</w:t>
      </w:r>
      <w:r w:rsidRPr="009D4B89">
        <w:rPr>
          <w:rFonts w:eastAsia="Malgun Gothic" w:cs="Times New Roman"/>
          <w:szCs w:val="20"/>
          <w:lang w:eastAsia="zh-CN"/>
        </w:rPr>
        <w:t xml:space="preserve"> </w:t>
      </w:r>
      <m:oMath>
        <m:sSubSup>
          <m:sSubSupPr>
            <m:ctrlPr>
              <w:rPr>
                <w:rFonts w:ascii="Cambria Math" w:hAnsi="Cambria Math" w:eastAsia="SimSun" w:cs="Times New Roman"/>
                <w:szCs w:val="20"/>
                <w:lang w:val="en-GB"/>
              </w:rPr>
            </m:ctrlPr>
          </m:sSubSupPr>
          <m:e>
            <m:r>
              <m:rPr>
                <m:sty m:val="b"/>
              </m:rPr>
              <w:rPr>
                <w:rFonts w:ascii="Cambria Math" w:hAnsi="Cambria Math" w:eastAsia="SimSun" w:cs="Times New Roman"/>
                <w:szCs w:val="20"/>
                <w:lang w:val="en-GB"/>
              </w:rPr>
              <m:t>3N</m:t>
            </m:r>
          </m:e>
          <m:sub>
            <m:r>
              <m:rPr>
                <m:sty m:val="b"/>
              </m:rPr>
              <w:rPr>
                <w:rFonts w:ascii="Cambria Math" w:hAnsi="Cambria Math" w:eastAsia="SimSun" w:cs="Times New Roman"/>
                <w:szCs w:val="20"/>
                <w:lang w:val="en-GB"/>
              </w:rPr>
              <m:t>slot</m:t>
            </m:r>
          </m:sub>
          <m:sup>
            <m:r>
              <m:rPr>
                <m:sty m:val="b"/>
              </m:rPr>
              <w:rPr>
                <w:rFonts w:ascii="Cambria Math" w:hAnsi="Cambria Math" w:eastAsia="SimSun" w:cs="Times New Roman"/>
                <w:szCs w:val="20"/>
                <w:lang w:val="en-GB"/>
              </w:rPr>
              <m:t>subframe,µ</m:t>
            </m:r>
          </m:sup>
        </m:sSubSup>
      </m:oMath>
      <w:r w:rsidRPr="009D4B89">
        <w:rPr>
          <w:rFonts w:eastAsia="Malgun Gothic" w:cs="Times New Roman"/>
          <w:szCs w:val="20"/>
          <w:lang w:eastAsia="zh-CN"/>
        </w:rPr>
        <w:t xml:space="preserve">+ </w:t>
      </w:r>
      <w:proofErr w:type="spellStart"/>
      <w:r w:rsidRPr="009D4B89">
        <w:rPr>
          <w:rFonts w:eastAsia="Malgun Gothic" w:cs="Times New Roman"/>
          <w:szCs w:val="20"/>
          <w:lang w:eastAsia="zh-CN"/>
        </w:rPr>
        <w:t>TO</w:t>
      </w:r>
      <w:r w:rsidRPr="009D4B89">
        <w:rPr>
          <w:rFonts w:eastAsia="Malgun Gothic" w:cs="Times New Roman"/>
          <w:szCs w:val="20"/>
          <w:vertAlign w:val="subscript"/>
          <w:lang w:eastAsia="zh-CN"/>
        </w:rPr>
        <w:t>k</w:t>
      </w:r>
      <w:proofErr w:type="spellEnd"/>
      <w:r w:rsidRPr="009D4B89">
        <w:rPr>
          <w:rFonts w:eastAsia="Malgun Gothic" w:cs="Times New Roman"/>
          <w:szCs w:val="20"/>
          <w:lang w:eastAsia="zh-CN"/>
        </w:rPr>
        <w:t>* (</w:t>
      </w:r>
      <w:proofErr w:type="spellStart"/>
      <w:r w:rsidRPr="009D4B89">
        <w:rPr>
          <w:rFonts w:eastAsia="Malgun Gothic" w:cs="Times New Roman"/>
          <w:szCs w:val="20"/>
          <w:lang w:eastAsia="zh-CN"/>
        </w:rPr>
        <w:t>T</w:t>
      </w:r>
      <w:r>
        <w:rPr>
          <w:rFonts w:eastAsia="Malgun Gothic" w:cs="Times New Roman"/>
          <w:szCs w:val="20"/>
          <w:vertAlign w:val="subscript"/>
          <w:lang w:eastAsia="zh-CN"/>
        </w:rPr>
        <w:t>first</w:t>
      </w:r>
      <w:proofErr w:type="spellEnd"/>
      <w:r>
        <w:rPr>
          <w:rFonts w:eastAsia="Malgun Gothic" w:cs="Times New Roman"/>
          <w:szCs w:val="20"/>
          <w:vertAlign w:val="subscript"/>
          <w:lang w:eastAsia="zh-CN"/>
        </w:rPr>
        <w:t>-RS</w:t>
      </w:r>
      <w:r w:rsidRPr="009D4B89">
        <w:rPr>
          <w:rFonts w:eastAsia="Malgun Gothic" w:cs="Times New Roman"/>
          <w:szCs w:val="20"/>
          <w:lang w:eastAsia="zh-CN"/>
        </w:rPr>
        <w:t>+ T</w:t>
      </w:r>
      <w:r w:rsidRPr="009D4B89">
        <w:rPr>
          <w:rFonts w:eastAsia="Malgun Gothic" w:cs="Times New Roman"/>
          <w:szCs w:val="20"/>
          <w:vertAlign w:val="subscript"/>
          <w:lang w:eastAsia="zh-CN"/>
        </w:rPr>
        <w:t>SSB-proc</w:t>
      </w:r>
      <w:r w:rsidRPr="009D4B89">
        <w:rPr>
          <w:rFonts w:eastAsia="Malgun Gothic" w:cs="Times New Roman"/>
          <w:szCs w:val="20"/>
          <w:lang w:eastAsia="zh-CN"/>
        </w:rPr>
        <w:t>)</w:t>
      </w:r>
      <w:r w:rsidRPr="009D4B89">
        <w:rPr>
          <w:rFonts w:eastAsia="SimSun" w:cs="Times New Roman"/>
          <w:szCs w:val="20"/>
          <w:lang w:eastAsia="zh-CN"/>
        </w:rPr>
        <w:t xml:space="preserve">/ </w:t>
      </w:r>
      <w:r w:rsidRPr="009D4B89">
        <w:rPr>
          <w:rFonts w:eastAsia="SimSun" w:cs="Times New Roman"/>
          <w:i/>
          <w:szCs w:val="20"/>
          <w:lang w:eastAsia="zh-CN"/>
        </w:rPr>
        <w:t>NR slot length</w:t>
      </w:r>
      <w:r>
        <w:rPr>
          <w:rFonts w:eastAsia="SimSun" w:cs="Times New Roman"/>
          <w:iCs w:val="0"/>
          <w:szCs w:val="20"/>
          <w:lang w:eastAsia="zh-CN"/>
        </w:rPr>
        <w:t xml:space="preserve"> after receiving the MAC-CE command.</w:t>
      </w:r>
      <w:bookmarkEnd w:id="1"/>
    </w:p>
    <w:p w:rsidR="002924EC" w:rsidP="002924EC" w:rsidRDefault="002924EC" w14:paraId="747AD8E9" w14:textId="571267A5">
      <w:pPr>
        <w:rPr>
          <w:lang w:eastAsia="zh-CN"/>
        </w:rPr>
      </w:pPr>
      <w:r>
        <w:rPr>
          <w:lang w:eastAsia="zh-CN"/>
        </w:rPr>
        <w:t>Furthermore,</w:t>
      </w:r>
      <w:r w:rsidR="00530AB2">
        <w:rPr>
          <w:lang w:eastAsia="zh-CN"/>
        </w:rPr>
        <w:t xml:space="preserve"> for cell switch RAN4 agreed to only define requirements when the target TCI state is known. Fo</w:t>
      </w:r>
      <w:r>
        <w:rPr>
          <w:lang w:eastAsia="zh-CN"/>
        </w:rPr>
        <w:t>r early candidate cell TCI state activation, we think unknown TCI states can</w:t>
      </w:r>
      <w:r w:rsidR="00530AB2">
        <w:rPr>
          <w:lang w:eastAsia="zh-CN"/>
        </w:rPr>
        <w:t xml:space="preserve"> be considered as well.</w:t>
      </w:r>
    </w:p>
    <w:p w:rsidR="009E6BE6" w:rsidP="009E6BE6" w:rsidRDefault="009E6BE6" w14:paraId="669DDF8A" w14:textId="2A60065A">
      <w:pPr>
        <w:pStyle w:val="RAN4proposal"/>
        <w:rPr>
          <w:lang w:eastAsia="zh-CN"/>
        </w:rPr>
      </w:pPr>
      <w:bookmarkStart w:name="_Toc149903158" w:id="2"/>
      <w:r>
        <w:rPr>
          <w:lang w:eastAsia="zh-CN"/>
        </w:rPr>
        <w:t>Define early candidate cell TCI state activation delay requirements for both known and unknown target TCI state.</w:t>
      </w:r>
      <w:bookmarkEnd w:id="2"/>
    </w:p>
    <w:p w:rsidRPr="009E6BE6" w:rsidR="009E6BE6" w:rsidP="009E6BE6" w:rsidRDefault="009E6BE6" w14:paraId="7FAE146C" w14:textId="71345A05">
      <w:pPr>
        <w:rPr>
          <w:lang w:eastAsia="zh-CN"/>
        </w:rPr>
      </w:pPr>
      <w:r>
        <w:rPr>
          <w:lang w:eastAsia="zh-CN"/>
        </w:rPr>
        <w:t>The formula for legacy TCI state switching for an unknown unified TCI state can be followed:</w:t>
      </w:r>
    </w:p>
    <w:p w:rsidR="00513B14" w:rsidP="00513B14" w:rsidRDefault="00513B14" w14:paraId="0E72839B" w14:textId="14F2856A">
      <w:pPr>
        <w:pStyle w:val="RAN4proposal"/>
        <w:rPr>
          <w:rFonts w:eastAsia="SimSun" w:cs="Times New Roman"/>
          <w:iCs w:val="0"/>
          <w:szCs w:val="20"/>
          <w:lang w:eastAsia="zh-CN"/>
        </w:rPr>
      </w:pPr>
      <w:bookmarkStart w:name="_Toc149903159" w:id="3"/>
      <w:r>
        <w:rPr>
          <w:lang w:eastAsia="zh-CN"/>
        </w:rPr>
        <w:t xml:space="preserve">Early DL/UL TCI state activation delay </w:t>
      </w:r>
      <w:r>
        <w:rPr>
          <w:lang w:eastAsia="zh-CN"/>
        </w:rPr>
        <w:t xml:space="preserve">for an unknown TCI state </w:t>
      </w:r>
      <w:r>
        <w:rPr>
          <w:lang w:eastAsia="zh-CN"/>
        </w:rPr>
        <w:t xml:space="preserve">is defined as </w:t>
      </w:r>
      <w:r w:rsidRPr="009D4B89">
        <w:rPr>
          <w:rFonts w:eastAsia="SimSun" w:cs="Times New Roman"/>
          <w:szCs w:val="20"/>
          <w:lang w:eastAsia="zh-CN"/>
        </w:rPr>
        <w:t>n+</w:t>
      </w:r>
      <w:r w:rsidRPr="009D4B89">
        <w:rPr>
          <w:rFonts w:eastAsia="Malgun Gothic" w:cs="Times New Roman"/>
          <w:szCs w:val="20"/>
          <w:lang w:val="en-GB" w:eastAsia="zh-CN"/>
        </w:rPr>
        <w:t xml:space="preserve"> T</w:t>
      </w:r>
      <w:r w:rsidRPr="009D4B89">
        <w:rPr>
          <w:rFonts w:eastAsia="Malgun Gothic" w:cs="Times New Roman"/>
          <w:szCs w:val="20"/>
          <w:vertAlign w:val="subscript"/>
          <w:lang w:val="en-GB" w:eastAsia="zh-CN"/>
        </w:rPr>
        <w:t>HARQ</w:t>
      </w:r>
      <w:r w:rsidRPr="009D4B89">
        <w:rPr>
          <w:rFonts w:eastAsia="Malgun Gothic" w:cs="Times New Roman"/>
          <w:szCs w:val="20"/>
          <w:lang w:val="en-GB" w:eastAsia="zh-CN"/>
        </w:rPr>
        <w:t xml:space="preserve"> +</w:t>
      </w:r>
      <w:r w:rsidRPr="009D4B89">
        <w:rPr>
          <w:rFonts w:eastAsia="Malgun Gothic" w:cs="Times New Roman"/>
          <w:szCs w:val="20"/>
          <w:lang w:eastAsia="zh-CN"/>
        </w:rPr>
        <w:t xml:space="preserve"> </w:t>
      </w:r>
      <m:oMath>
        <m:sSubSup>
          <m:sSubSupPr>
            <m:ctrlPr>
              <w:rPr>
                <w:rFonts w:ascii="Cambria Math" w:hAnsi="Cambria Math" w:eastAsia="SimSun" w:cs="Times New Roman"/>
                <w:szCs w:val="20"/>
                <w:lang w:val="en-GB"/>
              </w:rPr>
            </m:ctrlPr>
          </m:sSubSupPr>
          <m:e>
            <m:r>
              <m:rPr>
                <m:sty m:val="b"/>
              </m:rPr>
              <w:rPr>
                <w:rFonts w:ascii="Cambria Math" w:hAnsi="Cambria Math" w:eastAsia="SimSun" w:cs="Times New Roman"/>
                <w:szCs w:val="20"/>
                <w:lang w:val="en-GB"/>
              </w:rPr>
              <m:t>3N</m:t>
            </m:r>
          </m:e>
          <m:sub>
            <m:r>
              <m:rPr>
                <m:sty m:val="b"/>
              </m:rPr>
              <w:rPr>
                <w:rFonts w:ascii="Cambria Math" w:hAnsi="Cambria Math" w:eastAsia="SimSun" w:cs="Times New Roman"/>
                <w:szCs w:val="20"/>
                <w:lang w:val="en-GB"/>
              </w:rPr>
              <m:t>slot</m:t>
            </m:r>
          </m:sub>
          <m:sup>
            <m:r>
              <m:rPr>
                <m:sty m:val="b"/>
              </m:rPr>
              <w:rPr>
                <w:rFonts w:ascii="Cambria Math" w:hAnsi="Cambria Math" w:eastAsia="SimSun" w:cs="Times New Roman"/>
                <w:szCs w:val="20"/>
                <w:lang w:val="en-GB"/>
              </w:rPr>
              <m:t>subframe,µ</m:t>
            </m:r>
          </m:sup>
        </m:sSubSup>
      </m:oMath>
      <w:r w:rsidRPr="009D4B89">
        <w:rPr>
          <w:rFonts w:eastAsia="Malgun Gothic" w:cs="Times New Roman"/>
          <w:szCs w:val="20"/>
          <w:lang w:eastAsia="zh-CN"/>
        </w:rPr>
        <w:t xml:space="preserve">+ </w:t>
      </w:r>
      <w:r>
        <w:rPr>
          <w:rFonts w:eastAsia="Malgun Gothic" w:cs="Times New Roman"/>
          <w:szCs w:val="20"/>
          <w:lang w:eastAsia="zh-CN"/>
        </w:rPr>
        <w:t>T</w:t>
      </w:r>
      <w:r w:rsidRPr="00513B14">
        <w:rPr>
          <w:rFonts w:eastAsia="Malgun Gothic" w:cs="Times New Roman"/>
          <w:szCs w:val="20"/>
          <w:vertAlign w:val="subscript"/>
          <w:lang w:eastAsia="zh-CN"/>
        </w:rPr>
        <w:t>L1-RSRP</w:t>
      </w:r>
      <w:r>
        <w:rPr>
          <w:rFonts w:eastAsia="Malgun Gothic" w:cs="Times New Roman"/>
          <w:szCs w:val="20"/>
          <w:lang w:eastAsia="zh-CN"/>
        </w:rPr>
        <w:t xml:space="preserve"> + </w:t>
      </w:r>
      <w:proofErr w:type="spellStart"/>
      <w:r w:rsidRPr="009D4B89">
        <w:rPr>
          <w:rFonts w:eastAsia="Malgun Gothic" w:cs="Times New Roman"/>
          <w:szCs w:val="20"/>
          <w:lang w:eastAsia="zh-CN"/>
        </w:rPr>
        <w:t>TO</w:t>
      </w:r>
      <w:r w:rsidR="009E4964">
        <w:rPr>
          <w:rFonts w:eastAsia="Malgun Gothic" w:cs="Times New Roman"/>
          <w:szCs w:val="20"/>
          <w:vertAlign w:val="subscript"/>
          <w:lang w:eastAsia="zh-CN"/>
        </w:rPr>
        <w:t>uk</w:t>
      </w:r>
      <w:proofErr w:type="spellEnd"/>
      <w:r w:rsidRPr="009D4B89">
        <w:rPr>
          <w:rFonts w:eastAsia="Malgun Gothic" w:cs="Times New Roman"/>
          <w:szCs w:val="20"/>
          <w:lang w:eastAsia="zh-CN"/>
        </w:rPr>
        <w:t>* (</w:t>
      </w:r>
      <w:proofErr w:type="spellStart"/>
      <w:r w:rsidRPr="009D4B89">
        <w:rPr>
          <w:rFonts w:eastAsia="Malgun Gothic" w:cs="Times New Roman"/>
          <w:szCs w:val="20"/>
          <w:lang w:eastAsia="zh-CN"/>
        </w:rPr>
        <w:t>T</w:t>
      </w:r>
      <w:r>
        <w:rPr>
          <w:rFonts w:eastAsia="Malgun Gothic" w:cs="Times New Roman"/>
          <w:szCs w:val="20"/>
          <w:vertAlign w:val="subscript"/>
          <w:lang w:eastAsia="zh-CN"/>
        </w:rPr>
        <w:t>first</w:t>
      </w:r>
      <w:proofErr w:type="spellEnd"/>
      <w:r>
        <w:rPr>
          <w:rFonts w:eastAsia="Malgun Gothic" w:cs="Times New Roman"/>
          <w:szCs w:val="20"/>
          <w:vertAlign w:val="subscript"/>
          <w:lang w:eastAsia="zh-CN"/>
        </w:rPr>
        <w:t>-RS</w:t>
      </w:r>
      <w:r w:rsidRPr="009D4B89">
        <w:rPr>
          <w:rFonts w:eastAsia="Malgun Gothic" w:cs="Times New Roman"/>
          <w:szCs w:val="20"/>
          <w:lang w:eastAsia="zh-CN"/>
        </w:rPr>
        <w:t>+ T</w:t>
      </w:r>
      <w:r w:rsidRPr="009D4B89">
        <w:rPr>
          <w:rFonts w:eastAsia="Malgun Gothic" w:cs="Times New Roman"/>
          <w:szCs w:val="20"/>
          <w:vertAlign w:val="subscript"/>
          <w:lang w:eastAsia="zh-CN"/>
        </w:rPr>
        <w:t>SSB-proc</w:t>
      </w:r>
      <w:r w:rsidRPr="009D4B89">
        <w:rPr>
          <w:rFonts w:eastAsia="Malgun Gothic" w:cs="Times New Roman"/>
          <w:szCs w:val="20"/>
          <w:lang w:eastAsia="zh-CN"/>
        </w:rPr>
        <w:t>)</w:t>
      </w:r>
      <w:r w:rsidRPr="009D4B89">
        <w:rPr>
          <w:rFonts w:eastAsia="SimSun" w:cs="Times New Roman"/>
          <w:szCs w:val="20"/>
          <w:lang w:eastAsia="zh-CN"/>
        </w:rPr>
        <w:t xml:space="preserve">/ </w:t>
      </w:r>
      <w:r w:rsidRPr="009D4B89">
        <w:rPr>
          <w:rFonts w:eastAsia="SimSun" w:cs="Times New Roman"/>
          <w:i/>
          <w:szCs w:val="20"/>
          <w:lang w:eastAsia="zh-CN"/>
        </w:rPr>
        <w:t>NR slot length</w:t>
      </w:r>
      <w:r>
        <w:rPr>
          <w:rFonts w:eastAsia="SimSun" w:cs="Times New Roman"/>
          <w:iCs w:val="0"/>
          <w:szCs w:val="20"/>
          <w:lang w:eastAsia="zh-CN"/>
        </w:rPr>
        <w:t xml:space="preserve"> after receiving the MAC-CE command.</w:t>
      </w:r>
      <w:bookmarkEnd w:id="3"/>
    </w:p>
    <w:p w:rsidRPr="002924EC" w:rsidR="00530AB2" w:rsidP="002924EC" w:rsidRDefault="00530AB2" w14:paraId="58C7C8D3" w14:textId="77777777">
      <w:pPr>
        <w:rPr>
          <w:lang w:eastAsia="zh-CN"/>
        </w:rPr>
      </w:pPr>
    </w:p>
    <w:p w:rsidR="00A675C2" w:rsidP="00C8516F" w:rsidRDefault="006E79D6" w14:paraId="008B4D5C" w14:textId="1A0E27F1">
      <w:pPr>
        <w:pStyle w:val="RAN4H2"/>
      </w:pPr>
      <w:r>
        <w:t>PL-RS</w:t>
      </w:r>
    </w:p>
    <w:p w:rsidR="00C8516F" w:rsidP="00C8516F" w:rsidRDefault="00F66F86" w14:paraId="7613D8AF" w14:textId="73880DA9">
      <w:r>
        <w:t xml:space="preserve">In the last meeting, proposals regarding path loss estimation </w:t>
      </w:r>
      <w:r w:rsidR="00140AD3">
        <w:t>for UL transmission were captured under issue 3-2-4-1</w:t>
      </w:r>
      <w:r w:rsidR="004B30BB">
        <w:t xml:space="preserve"> </w:t>
      </w:r>
      <w:r w:rsidR="00C900ED">
        <w:t xml:space="preserve">in </w:t>
      </w:r>
      <w:r w:rsidR="004B30BB">
        <w:t xml:space="preserve">the LTM cell switch delay </w:t>
      </w:r>
      <w:r w:rsidR="00DB0774">
        <w:t>topic.</w:t>
      </w:r>
    </w:p>
    <w:tbl>
      <w:tblPr>
        <w:tblStyle w:val="TableGrid"/>
        <w:tblW w:w="0" w:type="auto"/>
        <w:tblLook w:val="04A0" w:firstRow="1" w:lastRow="0" w:firstColumn="1" w:lastColumn="0" w:noHBand="0" w:noVBand="1"/>
      </w:tblPr>
      <w:tblGrid>
        <w:gridCol w:w="9617"/>
      </w:tblGrid>
      <w:tr w:rsidR="00C8516F" w:rsidTr="00C8516F" w14:paraId="079E524B" w14:textId="77777777">
        <w:tc>
          <w:tcPr>
            <w:tcW w:w="9617" w:type="dxa"/>
          </w:tcPr>
          <w:p w:rsidRPr="00162D9D" w:rsidR="00162D9D" w:rsidP="00162D9D" w:rsidRDefault="00162D9D" w14:paraId="0F7D9FD9" w14:textId="77777777">
            <w:r w:rsidRPr="00162D9D">
              <w:rPr>
                <w:b/>
                <w:bCs/>
                <w:u w:val="single"/>
              </w:rPr>
              <w:t>Issue 3-2-4-1: Extra time for PL-RS measurement</w:t>
            </w:r>
          </w:p>
          <w:p w:rsidRPr="00162D9D" w:rsidR="00162D9D" w:rsidP="00162D9D" w:rsidRDefault="00162D9D" w14:paraId="6169F2EA" w14:textId="77777777">
            <w:r w:rsidRPr="00162D9D">
              <w:rPr>
                <w:b/>
                <w:bCs/>
              </w:rPr>
              <w:t xml:space="preserve">&lt;Way Forward&gt; </w:t>
            </w:r>
            <w:r w:rsidRPr="00162D9D">
              <w:t>FFS the following options:</w:t>
            </w:r>
          </w:p>
          <w:p w:rsidRPr="00162D9D" w:rsidR="00162D9D" w:rsidP="00162D9D" w:rsidRDefault="00162D9D" w14:paraId="3898E5DB" w14:textId="77777777">
            <w:pPr>
              <w:numPr>
                <w:ilvl w:val="0"/>
                <w:numId w:val="35"/>
              </w:numPr>
            </w:pPr>
            <w:r w:rsidRPr="00162D9D">
              <w:t xml:space="preserve">Option 1 (MTK): </w:t>
            </w:r>
          </w:p>
          <w:p w:rsidRPr="00162D9D" w:rsidR="00162D9D" w:rsidP="00162D9D" w:rsidRDefault="00162D9D" w14:paraId="5CB6DD25" w14:textId="77777777">
            <w:pPr>
              <w:numPr>
                <w:ilvl w:val="1"/>
                <w:numId w:val="35"/>
              </w:numPr>
            </w:pPr>
            <w:r w:rsidRPr="00162D9D">
              <w:t xml:space="preserve">For </w:t>
            </w:r>
            <w:proofErr w:type="spellStart"/>
            <w:r w:rsidRPr="00162D9D">
              <w:t>SpCell</w:t>
            </w:r>
            <w:proofErr w:type="spellEnd"/>
            <w:r w:rsidRPr="00162D9D">
              <w:t xml:space="preserve"> switch delay, the </w:t>
            </w:r>
            <w:r w:rsidRPr="00162D9D">
              <w:rPr>
                <w:u w:val="single"/>
              </w:rPr>
              <w:t>PL-RS to use should be one of the SSBs UE performs L1-RSRP measurement on</w:t>
            </w:r>
            <w:r w:rsidRPr="00162D9D">
              <w:t>.</w:t>
            </w:r>
          </w:p>
          <w:p w:rsidRPr="00162D9D" w:rsidR="00162D9D" w:rsidP="00162D9D" w:rsidRDefault="00162D9D" w14:paraId="6E4EC56E" w14:textId="77777777">
            <w:pPr>
              <w:numPr>
                <w:ilvl w:val="1"/>
                <w:numId w:val="35"/>
              </w:numPr>
            </w:pPr>
            <w:r w:rsidRPr="00162D9D">
              <w:t xml:space="preserve">For </w:t>
            </w:r>
            <w:proofErr w:type="spellStart"/>
            <w:r w:rsidRPr="00162D9D">
              <w:t>SpCell</w:t>
            </w:r>
            <w:proofErr w:type="spellEnd"/>
            <w:r w:rsidRPr="00162D9D">
              <w:t xml:space="preserve"> switch delay, </w:t>
            </w:r>
            <w:r w:rsidRPr="00162D9D">
              <w:rPr>
                <w:u w:val="single"/>
              </w:rPr>
              <w:t>UE does not need extra time to measure the PL-RS if L1-RSRP measurement period of corresponding SSB is no longer than 160ms</w:t>
            </w:r>
            <w:r w:rsidRPr="00162D9D">
              <w:t>.</w:t>
            </w:r>
          </w:p>
          <w:p w:rsidRPr="00162D9D" w:rsidR="00162D9D" w:rsidP="00162D9D" w:rsidRDefault="00162D9D" w14:paraId="5EF909DD" w14:textId="77777777">
            <w:pPr>
              <w:numPr>
                <w:ilvl w:val="0"/>
                <w:numId w:val="35"/>
              </w:numPr>
            </w:pPr>
            <w:r w:rsidRPr="00162D9D">
              <w:t>Option 2 (vivo): The PL-RS of the TCI activated/indicated in cell switch command is not maintained at the endpoint of the cell switch delay.</w:t>
            </w:r>
          </w:p>
          <w:p w:rsidRPr="00162D9D" w:rsidR="00162D9D" w:rsidP="00162D9D" w:rsidRDefault="00162D9D" w14:paraId="12FC5BB3" w14:textId="77777777">
            <w:pPr>
              <w:numPr>
                <w:ilvl w:val="1"/>
                <w:numId w:val="35"/>
              </w:numPr>
            </w:pPr>
            <w:r w:rsidRPr="00162D9D">
              <w:t xml:space="preserve">For RACH-based cell switch or early-RACH-based RACH-less cell switch, </w:t>
            </w:r>
            <w:r w:rsidRPr="00162D9D">
              <w:rPr>
                <w:u w:val="single"/>
              </w:rPr>
              <w:t>UE uses the SSB for PRACH transmission as the default PL-RS, before the PL-RS in the target TCI is maintained</w:t>
            </w:r>
            <w:r w:rsidRPr="00162D9D">
              <w:t xml:space="preserve">. </w:t>
            </w:r>
            <w:r w:rsidRPr="00162D9D">
              <w:rPr>
                <w:u w:val="single"/>
              </w:rPr>
              <w:t>If the SSB for PRACH transmission is the same as QCL source of the indicated TCI, UE is NOT required to transmit UL based on the target TCI before TCI activation time.</w:t>
            </w:r>
          </w:p>
          <w:p w:rsidRPr="00162D9D" w:rsidR="00162D9D" w:rsidP="00162D9D" w:rsidRDefault="00162D9D" w14:paraId="76569187" w14:textId="77777777">
            <w:pPr>
              <w:numPr>
                <w:ilvl w:val="1"/>
                <w:numId w:val="35"/>
              </w:numPr>
            </w:pPr>
            <w:r w:rsidRPr="00162D9D">
              <w:t xml:space="preserve">For all other RACH-less cell switch, </w:t>
            </w:r>
            <w:r w:rsidRPr="00162D9D">
              <w:rPr>
                <w:u w:val="single"/>
              </w:rPr>
              <w:t xml:space="preserve">UE is assumed to follow the same </w:t>
            </w:r>
            <w:proofErr w:type="spellStart"/>
            <w:r w:rsidRPr="00162D9D">
              <w:rPr>
                <w:u w:val="single"/>
              </w:rPr>
              <w:t>behaviour</w:t>
            </w:r>
            <w:proofErr w:type="spellEnd"/>
            <w:r w:rsidRPr="00162D9D">
              <w:rPr>
                <w:u w:val="single"/>
              </w:rPr>
              <w:t xml:space="preserve"> as R17 ICBM</w:t>
            </w:r>
            <w:r w:rsidRPr="00162D9D">
              <w:t>.</w:t>
            </w:r>
          </w:p>
          <w:p w:rsidRPr="00162D9D" w:rsidR="00162D9D" w:rsidP="00162D9D" w:rsidRDefault="00162D9D" w14:paraId="7219EE63" w14:textId="77777777">
            <w:pPr>
              <w:numPr>
                <w:ilvl w:val="1"/>
                <w:numId w:val="35"/>
              </w:numPr>
            </w:pPr>
            <w:r w:rsidRPr="00162D9D">
              <w:rPr>
                <w:u w:val="single"/>
              </w:rPr>
              <w:t>No additional interruption is assumed.</w:t>
            </w:r>
          </w:p>
          <w:p w:rsidRPr="00162D9D" w:rsidR="00162D9D" w:rsidP="00162D9D" w:rsidRDefault="00162D9D" w14:paraId="67DB4007" w14:textId="77777777">
            <w:pPr>
              <w:numPr>
                <w:ilvl w:val="0"/>
                <w:numId w:val="35"/>
              </w:numPr>
            </w:pPr>
            <w:r w:rsidRPr="00162D9D">
              <w:t xml:space="preserve">Option 3 (Ericsson): </w:t>
            </w:r>
            <w:r w:rsidRPr="00162D9D">
              <w:rPr>
                <w:u w:val="single"/>
              </w:rPr>
              <w:t>No additional delay</w:t>
            </w:r>
            <w:r w:rsidRPr="00162D9D">
              <w:t xml:space="preserve"> or conditions are needed for PL-RS measurement.</w:t>
            </w:r>
          </w:p>
          <w:p w:rsidR="00C8516F" w:rsidP="00C8516F" w:rsidRDefault="00C8516F" w14:paraId="2D4D4009" w14:textId="77777777"/>
        </w:tc>
      </w:tr>
    </w:tbl>
    <w:p w:rsidRPr="00C8516F" w:rsidR="00C8516F" w:rsidP="00C8516F" w:rsidRDefault="00C8516F" w14:paraId="4FECC574" w14:textId="77777777"/>
    <w:p w:rsidR="00C8516F" w:rsidP="00A675C2" w:rsidRDefault="00C665E9" w14:paraId="1494D1BF" w14:textId="5311E8A4">
      <w:r>
        <w:t xml:space="preserve">As this is topic that is related to not only cell switch delay but also early TCI state activation, we </w:t>
      </w:r>
      <w:r w:rsidR="00C76363">
        <w:t xml:space="preserve">will discuss it in a more general level in this paper. </w:t>
      </w:r>
    </w:p>
    <w:p w:rsidR="005B6B7E" w:rsidP="00A675C2" w:rsidRDefault="00C76363" w14:paraId="07CC522D" w14:textId="3702DBCE">
      <w:r>
        <w:t xml:space="preserve">When a unified TCI state </w:t>
      </w:r>
      <w:proofErr w:type="gramStart"/>
      <w:r>
        <w:t>i.e.</w:t>
      </w:r>
      <w:proofErr w:type="gramEnd"/>
      <w:r>
        <w:t xml:space="preserve"> joint DL/UL TCI state or </w:t>
      </w:r>
      <w:r w:rsidR="00F45632">
        <w:t xml:space="preserve">a pair of </w:t>
      </w:r>
      <w:r>
        <w:t xml:space="preserve">separate UL and DL TCI states </w:t>
      </w:r>
      <w:r w:rsidR="00F45632">
        <w:t>is</w:t>
      </w:r>
      <w:r>
        <w:t xml:space="preserve"> activated for a</w:t>
      </w:r>
      <w:r w:rsidR="00F45632">
        <w:t>n</w:t>
      </w:r>
      <w:r>
        <w:t xml:space="preserve"> LTM candidate cell either through early </w:t>
      </w:r>
      <w:r w:rsidR="001C6A3B">
        <w:t xml:space="preserve">candidate cell </w:t>
      </w:r>
      <w:r>
        <w:t xml:space="preserve">TCI state activation MAC-CE or at the cell switch command together with TCI state indication, </w:t>
      </w:r>
      <w:r w:rsidR="00211F08">
        <w:t xml:space="preserve">the UE is expected to </w:t>
      </w:r>
      <w:r w:rsidR="0020338A">
        <w:t>do the time</w:t>
      </w:r>
      <w:r w:rsidR="00B83851">
        <w:t>/frequency</w:t>
      </w:r>
      <w:r w:rsidR="0020338A">
        <w:t xml:space="preserve"> tracking for the downlink TCI state</w:t>
      </w:r>
      <w:r w:rsidR="00B83851">
        <w:t>.</w:t>
      </w:r>
      <w:r w:rsidR="007674DA">
        <w:t xml:space="preserve"> </w:t>
      </w:r>
      <w:r w:rsidR="00B865DE">
        <w:t xml:space="preserve">However, it is not </w:t>
      </w:r>
      <w:r w:rsidR="00823589">
        <w:t xml:space="preserve">agreed </w:t>
      </w:r>
      <w:r w:rsidR="00A24F0E">
        <w:t xml:space="preserve">when and how the UE shall perform the path loss estimation for </w:t>
      </w:r>
      <w:r w:rsidR="001C6AA5">
        <w:t>the uplink TCI state.</w:t>
      </w:r>
    </w:p>
    <w:p w:rsidR="00282B13" w:rsidP="00282B13" w:rsidRDefault="007674DA" w14:paraId="700FE449" w14:textId="21E8B0F7">
      <w:pPr>
        <w:rPr>
          <w:bCs/>
          <w:iCs/>
          <w:szCs w:val="21"/>
          <w:lang w:val="en-GB"/>
        </w:rPr>
      </w:pPr>
      <w:r>
        <w:t xml:space="preserve">In the existing unified TCI state switching requirements, when uplink TCI state is activated, the UE is allowed </w:t>
      </w:r>
      <w:r w:rsidR="002F3279">
        <w:t xml:space="preserve">a delay of </w:t>
      </w:r>
      <w:r w:rsidRPr="003E2410" w:rsidR="002F3279">
        <w:rPr>
          <w:bCs/>
          <w:iCs/>
          <w:szCs w:val="21"/>
        </w:rPr>
        <w:t>NM</w:t>
      </w:r>
      <w:r w:rsidRPr="00346173" w:rsidR="002F3279">
        <w:rPr>
          <w:bCs/>
          <w:i/>
          <w:szCs w:val="21"/>
        </w:rPr>
        <w:t>*</w:t>
      </w:r>
      <w:r w:rsidRPr="00901F8A" w:rsidR="002F3279">
        <w:rPr>
          <w:bCs/>
          <w:iCs/>
          <w:szCs w:val="21"/>
        </w:rPr>
        <w:t xml:space="preserve"> (</w:t>
      </w:r>
      <w:proofErr w:type="spellStart"/>
      <w:r w:rsidRPr="00901F8A" w:rsidR="002F3279">
        <w:rPr>
          <w:bCs/>
          <w:iCs/>
          <w:szCs w:val="21"/>
        </w:rPr>
        <w:t>T</w:t>
      </w:r>
      <w:r w:rsidRPr="00901F8A" w:rsidR="002F3279">
        <w:rPr>
          <w:bCs/>
          <w:iCs/>
          <w:szCs w:val="21"/>
          <w:vertAlign w:val="subscript"/>
        </w:rPr>
        <w:t>first_target</w:t>
      </w:r>
      <w:proofErr w:type="spellEnd"/>
      <w:r w:rsidRPr="00901F8A" w:rsidR="002F3279">
        <w:rPr>
          <w:bCs/>
          <w:iCs/>
          <w:szCs w:val="21"/>
          <w:vertAlign w:val="subscript"/>
        </w:rPr>
        <w:t xml:space="preserve">-PL-RS </w:t>
      </w:r>
      <w:r w:rsidRPr="00901F8A" w:rsidR="002F3279">
        <w:rPr>
          <w:bCs/>
          <w:iCs/>
          <w:szCs w:val="21"/>
        </w:rPr>
        <w:t>+ 4*</w:t>
      </w:r>
      <w:proofErr w:type="spellStart"/>
      <w:r w:rsidRPr="00901F8A" w:rsidR="002F3279">
        <w:rPr>
          <w:bCs/>
          <w:iCs/>
          <w:szCs w:val="21"/>
        </w:rPr>
        <w:t>T</w:t>
      </w:r>
      <w:r w:rsidRPr="00901F8A" w:rsidR="002F3279">
        <w:rPr>
          <w:bCs/>
          <w:iCs/>
          <w:szCs w:val="21"/>
          <w:vertAlign w:val="subscript"/>
        </w:rPr>
        <w:t>target_PL</w:t>
      </w:r>
      <w:proofErr w:type="spellEnd"/>
      <w:r w:rsidRPr="00901F8A" w:rsidR="002F3279">
        <w:rPr>
          <w:bCs/>
          <w:iCs/>
          <w:szCs w:val="21"/>
          <w:vertAlign w:val="subscript"/>
        </w:rPr>
        <w:t xml:space="preserve">-RS </w:t>
      </w:r>
      <w:r w:rsidRPr="00901F8A" w:rsidR="002F3279">
        <w:rPr>
          <w:bCs/>
          <w:iCs/>
          <w:szCs w:val="21"/>
        </w:rPr>
        <w:t>+ 2ms)</w:t>
      </w:r>
      <w:r w:rsidR="00436BC8">
        <w:rPr>
          <w:bCs/>
          <w:iCs/>
          <w:szCs w:val="21"/>
        </w:rPr>
        <w:t xml:space="preserve"> for evaluating the path loss through PL-RS signals</w:t>
      </w:r>
      <w:r w:rsidR="00E715A2">
        <w:rPr>
          <w:bCs/>
          <w:iCs/>
          <w:szCs w:val="21"/>
        </w:rPr>
        <w:t>,</w:t>
      </w:r>
      <w:r w:rsidR="00CD5D17">
        <w:rPr>
          <w:bCs/>
          <w:iCs/>
          <w:szCs w:val="21"/>
        </w:rPr>
        <w:t xml:space="preserve"> if the</w:t>
      </w:r>
      <w:r w:rsidR="00CF5871">
        <w:rPr>
          <w:bCs/>
          <w:iCs/>
          <w:szCs w:val="21"/>
        </w:rPr>
        <w:t xml:space="preserve"> target PL-RS is not maintained by the UE. </w:t>
      </w:r>
    </w:p>
    <w:p w:rsidR="00C17DD8" w:rsidP="00C17DD8" w:rsidRDefault="00A142A5" w14:paraId="49A1EC07" w14:textId="4CC69B86">
      <w:r>
        <w:t xml:space="preserve">In the legacy unified TCI state </w:t>
      </w:r>
      <w:r w:rsidR="00051373">
        <w:t xml:space="preserve">framework, </w:t>
      </w:r>
      <w:r>
        <w:t xml:space="preserve">PL-RS </w:t>
      </w:r>
      <w:r w:rsidR="00051373">
        <w:t>can be either SSB or CSI-RS. For a cell with a different PCI</w:t>
      </w:r>
      <w:r w:rsidR="006643B2">
        <w:t>, in the current requirements</w:t>
      </w:r>
      <w:r w:rsidR="00521D17">
        <w:t>,</w:t>
      </w:r>
      <w:r w:rsidR="006643B2">
        <w:t xml:space="preserve"> PL-RS is always SSB. </w:t>
      </w:r>
      <w:r w:rsidR="00C17DD8">
        <w:t xml:space="preserve">Because it was agreed earlier to define only SSB-based LTM in Rel-18, as proposed in the last meeting, it makes sense that the PL-RS would also be configured to be an SSB, furthermore, same SSB as configured for L1-RSRP measurement. </w:t>
      </w:r>
    </w:p>
    <w:p w:rsidR="00C17DD8" w:rsidP="000B4D15" w:rsidRDefault="00AE2811" w14:paraId="082BF73D" w14:textId="0A3575C3">
      <w:pPr>
        <w:pStyle w:val="RAN4observation0"/>
      </w:pPr>
      <w:bookmarkStart w:name="_Toc149903160" w:id="4"/>
      <w:r>
        <w:t xml:space="preserve">It is reasonable to assume that </w:t>
      </w:r>
      <w:r w:rsidR="00E34DB1">
        <w:t>PL-RS</w:t>
      </w:r>
      <w:r w:rsidR="000B4D15">
        <w:t xml:space="preserve"> of the TCI state is the SSB that is configured for L1-RSRP measurement for the candidate cell in question.</w:t>
      </w:r>
      <w:bookmarkEnd w:id="4"/>
    </w:p>
    <w:p w:rsidR="00C76363" w:rsidP="00216FD7" w:rsidRDefault="00A142A5" w14:paraId="125117FB" w14:textId="03543D98">
      <w:r>
        <w:t>For the UE to be able to activate the UL TCI state in LTM, the UE needs to perform path loss estimation at some point of the LTM procedure</w:t>
      </w:r>
      <w:r w:rsidR="000F0180">
        <w:t>. In the previous RAN4 meetings, it has been discussed whether an additional delay is needed due to PL-RS at the LTM cell switch.</w:t>
      </w:r>
      <w:r w:rsidR="00ED7D5F">
        <w:t xml:space="preserve"> </w:t>
      </w:r>
      <w:r w:rsidR="00D111EF">
        <w:t xml:space="preserve">It was proposed in the last meeting that the UE may do </w:t>
      </w:r>
      <w:r w:rsidR="00A97358">
        <w:t>the path loss estimation</w:t>
      </w:r>
      <w:r w:rsidR="00D111EF">
        <w:t xml:space="preserve"> </w:t>
      </w:r>
      <w:r w:rsidR="00E41717">
        <w:t xml:space="preserve">either </w:t>
      </w:r>
      <w:r w:rsidR="00D111EF">
        <w:t xml:space="preserve">through </w:t>
      </w:r>
      <w:r w:rsidR="00E41717">
        <w:t>the ongoing L1-measurements</w:t>
      </w:r>
      <w:r w:rsidR="00583102">
        <w:t xml:space="preserve"> or</w:t>
      </w:r>
      <w:r w:rsidR="00E41717">
        <w:t xml:space="preserve"> through </w:t>
      </w:r>
      <w:r w:rsidR="00D111EF">
        <w:t>the RACH procedure</w:t>
      </w:r>
      <w:r w:rsidR="00FB619E">
        <w:t xml:space="preserve"> (PDCCH ordered or RACH-based cell switch</w:t>
      </w:r>
      <w:proofErr w:type="gramStart"/>
      <w:r w:rsidR="00FB619E">
        <w:t>)</w:t>
      </w:r>
      <w:r w:rsidR="00D111EF">
        <w:t xml:space="preserve">, </w:t>
      </w:r>
      <w:r w:rsidR="008F6791">
        <w:t>i</w:t>
      </w:r>
      <w:r w:rsidRPr="00853052" w:rsidR="008F6791">
        <w:t>f</w:t>
      </w:r>
      <w:proofErr w:type="gramEnd"/>
      <w:r w:rsidRPr="00853052" w:rsidR="008F6791">
        <w:t xml:space="preserve"> </w:t>
      </w:r>
      <w:r w:rsidRPr="00162D9D" w:rsidR="00853052">
        <w:t>UE uses the SSB for PRACH transmission as the default PL-RS</w:t>
      </w:r>
      <w:r w:rsidR="00FB619E">
        <w:t>.</w:t>
      </w:r>
      <w:r w:rsidR="00CB1541">
        <w:t xml:space="preserve"> </w:t>
      </w:r>
      <w:r w:rsidR="00D72683">
        <w:t>In the latter case, it was proposed that</w:t>
      </w:r>
      <w:r w:rsidR="00E529EC">
        <w:t xml:space="preserve"> </w:t>
      </w:r>
      <w:r w:rsidR="004A0585">
        <w:t>delay for path loss estimation would be needed in the cell switch delay</w:t>
      </w:r>
      <w:r w:rsidR="00331745">
        <w:t xml:space="preserve"> under other conditions</w:t>
      </w:r>
      <w:r w:rsidR="004A0585">
        <w:t>.</w:t>
      </w:r>
    </w:p>
    <w:p w:rsidR="00876A2C" w:rsidP="00216FD7" w:rsidRDefault="00152CA4" w14:paraId="782AFDD9" w14:textId="1585773F">
      <w:r>
        <w:t xml:space="preserve">In our view, the purpose of early </w:t>
      </w:r>
      <w:r w:rsidR="00CA2B84">
        <w:t xml:space="preserve">candidate cell </w:t>
      </w:r>
      <w:r>
        <w:t xml:space="preserve">TCI state </w:t>
      </w:r>
      <w:r w:rsidR="00CA2B84">
        <w:t>activation</w:t>
      </w:r>
      <w:r>
        <w:t xml:space="preserve"> is that the UE can skip the steps related to TCI state activation </w:t>
      </w:r>
      <w:r w:rsidR="007D5AB7">
        <w:t>(DL synchronization and PL-RS</w:t>
      </w:r>
      <w:r w:rsidR="00EE7EFF">
        <w:t xml:space="preserve"> estimation) </w:t>
      </w:r>
      <w:r>
        <w:t>at cell switch</w:t>
      </w:r>
      <w:r w:rsidR="00DB6154">
        <w:t xml:space="preserve"> and hence the cell switch delay can be shorter</w:t>
      </w:r>
      <w:r>
        <w:t xml:space="preserve">. </w:t>
      </w:r>
      <w:r w:rsidR="00E22916">
        <w:t xml:space="preserve">Therefore, if TCI state activation is done before the cell switch, the UE should also do path loss estimation </w:t>
      </w:r>
      <w:r w:rsidR="00F2619D">
        <w:t xml:space="preserve">at this point. </w:t>
      </w:r>
      <w:r w:rsidR="002B60C8">
        <w:t xml:space="preserve">Relying on RACH is in our view not a preferable option, since </w:t>
      </w:r>
      <w:r w:rsidR="000B5220">
        <w:t xml:space="preserve">TCI state activation and </w:t>
      </w:r>
      <w:r w:rsidR="004F6546">
        <w:t xml:space="preserve">early RACH are independent UE capabilities and even if the UE would support both, network may not </w:t>
      </w:r>
      <w:r w:rsidR="0082350A">
        <w:t xml:space="preserve">always </w:t>
      </w:r>
      <w:r w:rsidR="004B54AB">
        <w:t>send PDCCH order after TCI state activation</w:t>
      </w:r>
      <w:r w:rsidR="0082350A">
        <w:t xml:space="preserve">. </w:t>
      </w:r>
      <w:r w:rsidR="00071E77">
        <w:t>Hence, t</w:t>
      </w:r>
      <w:r w:rsidR="00F2619D">
        <w:t xml:space="preserve">o avoid the need to </w:t>
      </w:r>
      <w:r w:rsidR="003C41C7">
        <w:t>perform PL-RS step during cell switch</w:t>
      </w:r>
      <w:r w:rsidR="007D5AB7">
        <w:t xml:space="preserve"> when early TCI state activation is done</w:t>
      </w:r>
      <w:r w:rsidR="00D44787">
        <w:t xml:space="preserve">, the UE should complete </w:t>
      </w:r>
      <w:r w:rsidR="00295523">
        <w:t xml:space="preserve">PL-RS </w:t>
      </w:r>
      <w:r w:rsidR="006D1578">
        <w:t>estimation when the TCI state is activated.</w:t>
      </w:r>
      <w:r w:rsidR="003C41C7">
        <w:t xml:space="preserve"> When TCI state activation is done at the cell switch, the UE </w:t>
      </w:r>
      <w:r w:rsidR="00E84257">
        <w:t>shall do path loss estimation during the cell switch.</w:t>
      </w:r>
    </w:p>
    <w:p w:rsidR="006D1578" w:rsidP="00216FD7" w:rsidRDefault="00187C50" w14:paraId="4FA78D39" w14:textId="08FA0FD7">
      <w:r>
        <w:t xml:space="preserve">The UE </w:t>
      </w:r>
      <w:r w:rsidR="002654BA">
        <w:t>will perform</w:t>
      </w:r>
      <w:r>
        <w:t xml:space="preserve"> L1</w:t>
      </w:r>
      <w:r w:rsidR="00B76E65">
        <w:t xml:space="preserve"> measurements</w:t>
      </w:r>
      <w:r>
        <w:t xml:space="preserve"> </w:t>
      </w:r>
      <w:r w:rsidR="00B76E65">
        <w:t xml:space="preserve">and can also be assumed to perform L3 </w:t>
      </w:r>
      <w:r>
        <w:t xml:space="preserve">measurements </w:t>
      </w:r>
      <w:r w:rsidR="0032767D">
        <w:t xml:space="preserve">for </w:t>
      </w:r>
      <w:r w:rsidR="0012780A">
        <w:t>the cell before TCI state activation</w:t>
      </w:r>
      <w:r w:rsidR="00A5361A">
        <w:t xml:space="preserve"> or cell switch command</w:t>
      </w:r>
      <w:r w:rsidR="0012780A">
        <w:t xml:space="preserve">, so it should have some understanding on the path loss already based on those measurements. Therefore, after receiving the early TCI state activation command or LTM cell switch command with TCI state activation and indication, we think it would be reasonable that the UE </w:t>
      </w:r>
      <w:r w:rsidR="00084662">
        <w:t>uses the same SSB for DL fine T/F tracking and PL-RS estimation</w:t>
      </w:r>
      <w:r w:rsidR="007805EC">
        <w:t xml:space="preserve">. </w:t>
      </w:r>
      <w:r w:rsidR="00633F27">
        <w:t>Hence, an additional delay due to PL-RS</w:t>
      </w:r>
      <w:r w:rsidR="007568F2">
        <w:t xml:space="preserve"> would not be needed </w:t>
      </w:r>
      <w:r w:rsidR="007B6223">
        <w:t xml:space="preserve">in early TCI state activation delay or LTM cell switch </w:t>
      </w:r>
      <w:r w:rsidR="00F9333B">
        <w:t>due to PL-RS estimation.</w:t>
      </w:r>
    </w:p>
    <w:p w:rsidR="00F9333B" w:rsidP="00F9333B" w:rsidRDefault="00FE63CF" w14:paraId="61DCBB65" w14:textId="492197C4">
      <w:pPr>
        <w:pStyle w:val="RAN4proposal"/>
      </w:pPr>
      <w:bookmarkStart w:name="_Toc149903161" w:id="5"/>
      <w:r>
        <w:t xml:space="preserve">UE </w:t>
      </w:r>
      <w:r w:rsidR="00B74952">
        <w:t>can perform</w:t>
      </w:r>
      <w:r>
        <w:t xml:space="preserve"> PL-RS estimation </w:t>
      </w:r>
      <w:r w:rsidR="008E28CC">
        <w:t>based on the same SSB as is used for T/F tracking</w:t>
      </w:r>
      <w:r w:rsidR="0024386E">
        <w:t xml:space="preserve"> at TCI state activation</w:t>
      </w:r>
      <w:r w:rsidR="00781EA6">
        <w:t>. Hence, no additional delay due to PL-RS is needed</w:t>
      </w:r>
      <w:r w:rsidR="0038060E">
        <w:t xml:space="preserve"> when TCI state is activated </w:t>
      </w:r>
      <w:r w:rsidR="0038060E">
        <w:t>before or at the cell switch</w:t>
      </w:r>
      <w:r w:rsidR="0038060E">
        <w:t>.</w:t>
      </w:r>
      <w:bookmarkEnd w:id="5"/>
    </w:p>
    <w:p w:rsidR="00DD539F" w:rsidP="00DD539F" w:rsidRDefault="007805EC" w14:paraId="5A8C5DAE" w14:textId="6068FE06">
      <w:r>
        <w:t xml:space="preserve">After early TCI state activation, </w:t>
      </w:r>
      <w:r w:rsidR="005B31F2">
        <w:t xml:space="preserve">it </w:t>
      </w:r>
      <w:r w:rsidR="000343A5">
        <w:t>is</w:t>
      </w:r>
      <w:r w:rsidR="00FC54C2">
        <w:t xml:space="preserve"> reasonable </w:t>
      </w:r>
      <w:r w:rsidR="000343A5">
        <w:t xml:space="preserve">to </w:t>
      </w:r>
      <w:r w:rsidR="00FC54C2">
        <w:t xml:space="preserve">assume that </w:t>
      </w:r>
      <w:r>
        <w:t xml:space="preserve">the UE shall maintain the PL-RS for the candidate cell for which TCI state is activated. Therefore, if early TCI state activation has been done for the target cell </w:t>
      </w:r>
      <w:r w:rsidR="008E1669">
        <w:t>before</w:t>
      </w:r>
      <w:r>
        <w:t xml:space="preserve"> the cell switch command, no additional time is needed for PL-RS</w:t>
      </w:r>
      <w:r w:rsidR="008E1669">
        <w:t xml:space="preserve"> during the cell switch</w:t>
      </w:r>
      <w:r>
        <w:t>.</w:t>
      </w:r>
    </w:p>
    <w:p w:rsidR="007805EC" w:rsidP="007805EC" w:rsidRDefault="007805EC" w14:paraId="6025F22E" w14:textId="74A553F9">
      <w:pPr>
        <w:pStyle w:val="RAN4proposal"/>
      </w:pPr>
      <w:bookmarkStart w:name="_Toc149903162" w:id="6"/>
      <w:r>
        <w:t>When</w:t>
      </w:r>
      <w:r w:rsidR="00AC3E45">
        <w:t xml:space="preserve"> the target TCI state in the LTM cell switch command is on the active TCI state list</w:t>
      </w:r>
      <w:r w:rsidR="00882244">
        <w:t xml:space="preserve"> (and the measurement period is no longer than 160 ms)</w:t>
      </w:r>
      <w:r w:rsidR="00AC3E45">
        <w:t xml:space="preserve">, </w:t>
      </w:r>
      <w:r w:rsidR="00EA2E98">
        <w:t>PL-RS is main</w:t>
      </w:r>
      <w:r w:rsidR="00882244">
        <w:t>tained, and no additional delay for PL-RS is needed in the cell switch.</w:t>
      </w:r>
      <w:bookmarkEnd w:id="6"/>
    </w:p>
    <w:p w:rsidR="00D3503D" w:rsidP="00D3503D" w:rsidRDefault="00DB4242" w14:paraId="793637F7" w14:textId="4C343760">
      <w:r>
        <w:t xml:space="preserve">A remaining question is related to the number of PL-RS the UE shall be able to maintain for the LTM candidate cells. For a serving cell, according to the current specifications, the UE shall </w:t>
      </w:r>
      <w:r w:rsidR="002A19C9">
        <w:t xml:space="preserve">be able to </w:t>
      </w:r>
      <w:r>
        <w:t xml:space="preserve">keep track of </w:t>
      </w:r>
      <w:r w:rsidR="002A19C9">
        <w:t xml:space="preserve">4 PL-RSs. </w:t>
      </w:r>
      <w:r w:rsidR="00C36CDF">
        <w:t xml:space="preserve">We think this capability for serving cells should be </w:t>
      </w:r>
      <w:r w:rsidR="00EA34DA">
        <w:t>kept</w:t>
      </w:r>
      <w:r w:rsidR="0087044B">
        <w:t xml:space="preserve"> </w:t>
      </w:r>
      <w:r w:rsidR="00126C9A">
        <w:t xml:space="preserve">as it is </w:t>
      </w:r>
      <w:r w:rsidR="0087044B">
        <w:t>and adding LTM on top of this should not change the serving cell requirement</w:t>
      </w:r>
      <w:r w:rsidR="00C36CDF">
        <w:t xml:space="preserve">. </w:t>
      </w:r>
      <w:r w:rsidR="006C7D21">
        <w:t>Hence, o</w:t>
      </w:r>
      <w:r w:rsidR="00C36CDF">
        <w:t xml:space="preserve">n top of </w:t>
      </w:r>
      <w:r w:rsidR="0087044B">
        <w:t>the serving cell requirement</w:t>
      </w:r>
      <w:r w:rsidR="00C36CDF">
        <w:t xml:space="preserve">, the UE shall be able to maintain </w:t>
      </w:r>
      <w:proofErr w:type="gramStart"/>
      <w:r w:rsidR="00C36CDF">
        <w:t>a number of</w:t>
      </w:r>
      <w:proofErr w:type="gramEnd"/>
      <w:r w:rsidR="00C36CDF">
        <w:t xml:space="preserve"> PL-RS for the LTM candidate cells. We think a reasonable expectation is that the UE should be able to maintain PL-RS </w:t>
      </w:r>
      <w:r w:rsidR="006C0ABE">
        <w:t xml:space="preserve">associated to the cells for which TCI state is activated. Hence, the number of PL-RS the UE shall maintain after TCI state activation should be the number of TCI states </w:t>
      </w:r>
      <w:r w:rsidR="00C6222C">
        <w:t>the UE is capable to have on its LTM candidate cell active TCI state list.</w:t>
      </w:r>
      <w:r w:rsidR="00FE32BD">
        <w:t xml:space="preserve"> This number is depending on RAN1 discussion, as was indicated in the last meeting’s RAN4 LTM WF.</w:t>
      </w:r>
    </w:p>
    <w:p w:rsidRPr="00FD5EB8" w:rsidR="00C6222C" w:rsidP="00C6222C" w:rsidRDefault="00C6222C" w14:paraId="1F9C28CA" w14:textId="39EADA0F">
      <w:pPr>
        <w:pStyle w:val="RAN4proposal"/>
      </w:pPr>
      <w:bookmarkStart w:name="_Toc149903163" w:id="7"/>
      <w:r w:rsidRPr="00FD5EB8">
        <w:t xml:space="preserve">UE shall be able to maintain PL-RS </w:t>
      </w:r>
      <w:r w:rsidRPr="00FD5EB8" w:rsidR="00FD5EB8">
        <w:rPr>
          <w:bCs/>
        </w:rPr>
        <w:t xml:space="preserve">associated with or included in the UL or joint TCI </w:t>
      </w:r>
      <w:r w:rsidRPr="00FD5EB8" w:rsidR="00FD5EB8">
        <w:t xml:space="preserve">states in the </w:t>
      </w:r>
      <w:r w:rsidRPr="00FD5EB8" w:rsidR="00FD5EB8">
        <w:t xml:space="preserve">LTM candidate cell </w:t>
      </w:r>
      <w:r w:rsidRPr="00FD5EB8" w:rsidR="00FD5EB8">
        <w:t xml:space="preserve">active TCI </w:t>
      </w:r>
      <w:r w:rsidRPr="00FD5EB8" w:rsidR="00FD5EB8">
        <w:t xml:space="preserve">state </w:t>
      </w:r>
      <w:r w:rsidRPr="00FD5EB8" w:rsidR="00FD5EB8">
        <w:t>list</w:t>
      </w:r>
      <w:r w:rsidR="00B01218">
        <w:t>.</w:t>
      </w:r>
      <w:bookmarkEnd w:id="7"/>
    </w:p>
    <w:p w:rsidRPr="00465E07" w:rsidR="00CD7492" w:rsidP="004D4414" w:rsidRDefault="00CD7492" w14:paraId="39DD3EE9" w14:textId="1E3E9FD5">
      <w:pPr>
        <w:pStyle w:val="RAN4H1"/>
      </w:pPr>
      <w:bookmarkStart w:name="_Toc116995848" w:id="8"/>
      <w:r w:rsidRPr="00465E07">
        <w:t>Conclusion</w:t>
      </w:r>
      <w:bookmarkEnd w:id="8"/>
    </w:p>
    <w:p w:rsidRPr="00465E07" w:rsidR="008B0961" w:rsidP="005C23A4" w:rsidRDefault="0004773E" w14:paraId="77C330DB" w14:textId="63A4D980">
      <w:r>
        <w:t>In this contribution we have made the following proposals and observations:</w:t>
      </w:r>
    </w:p>
    <w:p w:rsidR="00740C4B" w:rsidRDefault="00A4355E" w14:paraId="497A2BCF" w14:textId="34B0A6A0">
      <w:pPr>
        <w:pStyle w:val="TOC5"/>
        <w:rPr>
          <w:rFonts w:asciiTheme="minorHAnsi" w:hAnsiTheme="minorHAnsi" w:eastAsiaTheme="minorEastAsia"/>
          <w:b w:val="0"/>
          <w:noProof/>
          <w:kern w:val="2"/>
          <w:sz w:val="22"/>
          <w14:ligatures w14:val="standardContextual"/>
        </w:rPr>
      </w:pPr>
      <w:r w:rsidRPr="00F51067">
        <w:rPr>
          <w:b w:val="0"/>
          <w:i/>
          <w:iCs/>
          <w:color w:val="FF0000"/>
        </w:rPr>
        <w:fldChar w:fldCharType="begin"/>
      </w:r>
      <w:r w:rsidRPr="00F51067">
        <w:rPr>
          <w:i/>
          <w:iCs/>
          <w:color w:val="FF0000"/>
        </w:rPr>
        <w:instrText xml:space="preserve"> TOC \n \h \z \t "RAN4 proposal,5,RAN4 observation,4" </w:instrText>
      </w:r>
      <w:r w:rsidRPr="00F51067">
        <w:rPr>
          <w:b w:val="0"/>
          <w:i/>
          <w:iCs/>
          <w:color w:val="FF0000"/>
        </w:rPr>
        <w:fldChar w:fldCharType="separate"/>
      </w:r>
      <w:hyperlink w:history="1" w:anchor="_Toc149903157">
        <w:r w:rsidRPr="00894E1F" w:rsidR="00740C4B">
          <w:rPr>
            <w:rStyle w:val="Hyperlink"/>
            <w:rFonts w:eastAsia="SimSun" w:cs="Times New Roman"/>
            <w:noProof/>
            <w:lang w:eastAsia="zh-CN"/>
          </w:rPr>
          <w:t>Proposal 1:</w:t>
        </w:r>
        <w:r w:rsidRPr="00894E1F" w:rsidR="00740C4B">
          <w:rPr>
            <w:rStyle w:val="Hyperlink"/>
            <w:noProof/>
            <w:lang w:eastAsia="zh-CN"/>
          </w:rPr>
          <w:t xml:space="preserve"> Early DL/UL TCI state activation delay for a known TCI state is defined as </w:t>
        </w:r>
        <w:r w:rsidRPr="00894E1F" w:rsidR="00740C4B">
          <w:rPr>
            <w:rStyle w:val="Hyperlink"/>
            <w:rFonts w:eastAsia="SimSun" w:cs="Times New Roman"/>
            <w:noProof/>
            <w:lang w:eastAsia="zh-CN"/>
          </w:rPr>
          <w:t>n+</w:t>
        </w:r>
        <w:r w:rsidRPr="00894E1F" w:rsidR="00740C4B">
          <w:rPr>
            <w:rStyle w:val="Hyperlink"/>
            <w:rFonts w:eastAsia="Malgun Gothic" w:cs="Times New Roman"/>
            <w:noProof/>
            <w:lang w:val="en-GB" w:eastAsia="zh-CN"/>
          </w:rPr>
          <w:t xml:space="preserve"> T</w:t>
        </w:r>
        <w:r w:rsidRPr="00894E1F" w:rsidR="00740C4B">
          <w:rPr>
            <w:rStyle w:val="Hyperlink"/>
            <w:rFonts w:eastAsia="Malgun Gothic" w:cs="Times New Roman"/>
            <w:noProof/>
            <w:vertAlign w:val="subscript"/>
            <w:lang w:val="en-GB" w:eastAsia="zh-CN"/>
          </w:rPr>
          <w:t>HARQ</w:t>
        </w:r>
        <w:r w:rsidRPr="00894E1F" w:rsidR="00740C4B">
          <w:rPr>
            <w:rStyle w:val="Hyperlink"/>
            <w:rFonts w:eastAsia="Malgun Gothic" w:cs="Times New Roman"/>
            <w:noProof/>
            <w:lang w:val="en-GB" w:eastAsia="zh-CN"/>
          </w:rPr>
          <w:t xml:space="preserve"> +</w:t>
        </w:r>
        <w:r w:rsidRPr="00894E1F" w:rsidR="00740C4B">
          <w:rPr>
            <w:rStyle w:val="Hyperlink"/>
            <w:rFonts w:eastAsia="Malgun Gothic" w:cs="Times New Roman"/>
            <w:noProof/>
            <w:lang w:eastAsia="zh-CN"/>
          </w:rPr>
          <w:t xml:space="preserve"> </w:t>
        </w:r>
        <m:oMath>
          <m:r>
            <m:rPr>
              <m:sty m:val="b"/>
            </m:rPr>
            <w:rPr>
              <w:rStyle w:val="Hyperlink"/>
              <w:rFonts w:ascii="Cambria Math" w:hAnsi="Cambria Math" w:eastAsia="SimSun" w:cs="Times New Roman"/>
              <w:noProof/>
              <w:lang w:val="en-GB"/>
            </w:rPr>
            <m:t>3Nslotsubframe,µ</m:t>
          </m:r>
        </m:oMath>
        <w:r w:rsidRPr="00894E1F" w:rsidR="00740C4B">
          <w:rPr>
            <w:rStyle w:val="Hyperlink"/>
            <w:rFonts w:eastAsia="Malgun Gothic" w:cs="Times New Roman"/>
            <w:noProof/>
            <w:lang w:eastAsia="zh-CN"/>
          </w:rPr>
          <w:t>+ TO</w:t>
        </w:r>
        <w:r w:rsidRPr="00894E1F" w:rsidR="00740C4B">
          <w:rPr>
            <w:rStyle w:val="Hyperlink"/>
            <w:rFonts w:eastAsia="Malgun Gothic" w:cs="Times New Roman"/>
            <w:noProof/>
            <w:vertAlign w:val="subscript"/>
            <w:lang w:eastAsia="zh-CN"/>
          </w:rPr>
          <w:t>k</w:t>
        </w:r>
        <w:r w:rsidRPr="00894E1F" w:rsidR="00740C4B">
          <w:rPr>
            <w:rStyle w:val="Hyperlink"/>
            <w:rFonts w:eastAsia="Malgun Gothic" w:cs="Times New Roman"/>
            <w:noProof/>
            <w:lang w:eastAsia="zh-CN"/>
          </w:rPr>
          <w:t>* (T</w:t>
        </w:r>
        <w:r w:rsidRPr="00894E1F" w:rsidR="00740C4B">
          <w:rPr>
            <w:rStyle w:val="Hyperlink"/>
            <w:rFonts w:eastAsia="Malgun Gothic" w:cs="Times New Roman"/>
            <w:noProof/>
            <w:vertAlign w:val="subscript"/>
            <w:lang w:eastAsia="zh-CN"/>
          </w:rPr>
          <w:t>first-RS</w:t>
        </w:r>
        <w:r w:rsidRPr="00894E1F" w:rsidR="00740C4B">
          <w:rPr>
            <w:rStyle w:val="Hyperlink"/>
            <w:rFonts w:eastAsia="Malgun Gothic" w:cs="Times New Roman"/>
            <w:noProof/>
            <w:lang w:eastAsia="zh-CN"/>
          </w:rPr>
          <w:t>+ T</w:t>
        </w:r>
        <w:r w:rsidRPr="00894E1F" w:rsidR="00740C4B">
          <w:rPr>
            <w:rStyle w:val="Hyperlink"/>
            <w:rFonts w:eastAsia="Malgun Gothic" w:cs="Times New Roman"/>
            <w:noProof/>
            <w:vertAlign w:val="subscript"/>
            <w:lang w:eastAsia="zh-CN"/>
          </w:rPr>
          <w:t>SSB-proc</w:t>
        </w:r>
        <w:r w:rsidRPr="00894E1F" w:rsidR="00740C4B">
          <w:rPr>
            <w:rStyle w:val="Hyperlink"/>
            <w:rFonts w:eastAsia="Malgun Gothic" w:cs="Times New Roman"/>
            <w:noProof/>
            <w:lang w:eastAsia="zh-CN"/>
          </w:rPr>
          <w:t>)</w:t>
        </w:r>
        <w:r w:rsidRPr="00894E1F" w:rsidR="00740C4B">
          <w:rPr>
            <w:rStyle w:val="Hyperlink"/>
            <w:rFonts w:eastAsia="SimSun" w:cs="Times New Roman"/>
            <w:noProof/>
            <w:lang w:eastAsia="zh-CN"/>
          </w:rPr>
          <w:t xml:space="preserve">/ </w:t>
        </w:r>
        <w:r w:rsidRPr="00894E1F" w:rsidR="00740C4B">
          <w:rPr>
            <w:rStyle w:val="Hyperlink"/>
            <w:rFonts w:eastAsia="SimSun" w:cs="Times New Roman"/>
            <w:i/>
            <w:noProof/>
            <w:lang w:eastAsia="zh-CN"/>
          </w:rPr>
          <w:t>NR slot length</w:t>
        </w:r>
        <w:r w:rsidRPr="00894E1F" w:rsidR="00740C4B">
          <w:rPr>
            <w:rStyle w:val="Hyperlink"/>
            <w:rFonts w:eastAsia="SimSun" w:cs="Times New Roman"/>
            <w:noProof/>
            <w:lang w:eastAsia="zh-CN"/>
          </w:rPr>
          <w:t xml:space="preserve"> after receiving the MAC-CE command.</w:t>
        </w:r>
      </w:hyperlink>
    </w:p>
    <w:p w:rsidR="00740C4B" w:rsidRDefault="00740C4B" w14:paraId="6EEF6EC0" w14:textId="0DC6A4B7">
      <w:pPr>
        <w:pStyle w:val="TOC5"/>
        <w:rPr>
          <w:rFonts w:asciiTheme="minorHAnsi" w:hAnsiTheme="minorHAnsi" w:eastAsiaTheme="minorEastAsia"/>
          <w:b w:val="0"/>
          <w:noProof/>
          <w:kern w:val="2"/>
          <w:sz w:val="22"/>
          <w14:ligatures w14:val="standardContextual"/>
        </w:rPr>
      </w:pPr>
      <w:hyperlink w:history="1" w:anchor="_Toc149903158">
        <w:r w:rsidRPr="00894E1F">
          <w:rPr>
            <w:rStyle w:val="Hyperlink"/>
            <w:noProof/>
            <w:lang w:eastAsia="zh-CN"/>
          </w:rPr>
          <w:t>Proposal 2: Define early candidate cell TCI state activation delay requirements for both known and unknown target TCI state.</w:t>
        </w:r>
      </w:hyperlink>
    </w:p>
    <w:p w:rsidR="00740C4B" w:rsidRDefault="00740C4B" w14:paraId="7278B1AF" w14:textId="4021DE6B">
      <w:pPr>
        <w:pStyle w:val="TOC5"/>
        <w:rPr>
          <w:rFonts w:asciiTheme="minorHAnsi" w:hAnsiTheme="minorHAnsi" w:eastAsiaTheme="minorEastAsia"/>
          <w:b w:val="0"/>
          <w:noProof/>
          <w:kern w:val="2"/>
          <w:sz w:val="22"/>
          <w14:ligatures w14:val="standardContextual"/>
        </w:rPr>
      </w:pPr>
      <w:hyperlink w:history="1" w:anchor="_Toc149903159">
        <w:r w:rsidRPr="00894E1F">
          <w:rPr>
            <w:rStyle w:val="Hyperlink"/>
            <w:rFonts w:eastAsia="SimSun" w:cs="Times New Roman"/>
            <w:noProof/>
            <w:lang w:eastAsia="zh-CN"/>
          </w:rPr>
          <w:t>Proposal 3:</w:t>
        </w:r>
        <w:r w:rsidRPr="00894E1F">
          <w:rPr>
            <w:rStyle w:val="Hyperlink"/>
            <w:noProof/>
            <w:lang w:eastAsia="zh-CN"/>
          </w:rPr>
          <w:t xml:space="preserve"> Early DL/UL TCI state activation delay for an unknown TCI state is defined as </w:t>
        </w:r>
        <w:r w:rsidRPr="00894E1F">
          <w:rPr>
            <w:rStyle w:val="Hyperlink"/>
            <w:rFonts w:eastAsia="SimSun" w:cs="Times New Roman"/>
            <w:noProof/>
            <w:lang w:eastAsia="zh-CN"/>
          </w:rPr>
          <w:t>n+</w:t>
        </w:r>
        <w:r w:rsidRPr="00894E1F">
          <w:rPr>
            <w:rStyle w:val="Hyperlink"/>
            <w:rFonts w:eastAsia="Malgun Gothic" w:cs="Times New Roman"/>
            <w:noProof/>
            <w:lang w:val="en-GB" w:eastAsia="zh-CN"/>
          </w:rPr>
          <w:t xml:space="preserve"> T</w:t>
        </w:r>
        <w:r w:rsidRPr="00894E1F">
          <w:rPr>
            <w:rStyle w:val="Hyperlink"/>
            <w:rFonts w:eastAsia="Malgun Gothic" w:cs="Times New Roman"/>
            <w:noProof/>
            <w:vertAlign w:val="subscript"/>
            <w:lang w:val="en-GB" w:eastAsia="zh-CN"/>
          </w:rPr>
          <w:t>HARQ</w:t>
        </w:r>
        <w:r w:rsidRPr="00894E1F">
          <w:rPr>
            <w:rStyle w:val="Hyperlink"/>
            <w:rFonts w:eastAsia="Malgun Gothic" w:cs="Times New Roman"/>
            <w:noProof/>
            <w:lang w:val="en-GB" w:eastAsia="zh-CN"/>
          </w:rPr>
          <w:t xml:space="preserve"> +</w:t>
        </w:r>
        <w:r w:rsidRPr="00894E1F">
          <w:rPr>
            <w:rStyle w:val="Hyperlink"/>
            <w:rFonts w:eastAsia="Malgun Gothic" w:cs="Times New Roman"/>
            <w:noProof/>
            <w:lang w:eastAsia="zh-CN"/>
          </w:rPr>
          <w:t xml:space="preserve"> </w:t>
        </w:r>
        <m:oMath>
          <m:r>
            <m:rPr>
              <m:sty m:val="b"/>
            </m:rPr>
            <w:rPr>
              <w:rStyle w:val="Hyperlink"/>
              <w:rFonts w:ascii="Cambria Math" w:hAnsi="Cambria Math" w:eastAsia="SimSun" w:cs="Times New Roman"/>
              <w:noProof/>
              <w:lang w:val="en-GB"/>
            </w:rPr>
            <m:t>3Nslotsubframe,µ</m:t>
          </m:r>
        </m:oMath>
        <w:r w:rsidRPr="00894E1F">
          <w:rPr>
            <w:rStyle w:val="Hyperlink"/>
            <w:rFonts w:eastAsia="Malgun Gothic" w:cs="Times New Roman"/>
            <w:noProof/>
            <w:lang w:eastAsia="zh-CN"/>
          </w:rPr>
          <w:t>+ T</w:t>
        </w:r>
        <w:r w:rsidRPr="00894E1F">
          <w:rPr>
            <w:rStyle w:val="Hyperlink"/>
            <w:rFonts w:eastAsia="Malgun Gothic" w:cs="Times New Roman"/>
            <w:noProof/>
            <w:vertAlign w:val="subscript"/>
            <w:lang w:eastAsia="zh-CN"/>
          </w:rPr>
          <w:t>L1-RSRP</w:t>
        </w:r>
        <w:r w:rsidRPr="00894E1F">
          <w:rPr>
            <w:rStyle w:val="Hyperlink"/>
            <w:rFonts w:eastAsia="Malgun Gothic" w:cs="Times New Roman"/>
            <w:noProof/>
            <w:lang w:eastAsia="zh-CN"/>
          </w:rPr>
          <w:t xml:space="preserve"> + TO</w:t>
        </w:r>
        <w:r w:rsidRPr="00894E1F">
          <w:rPr>
            <w:rStyle w:val="Hyperlink"/>
            <w:rFonts w:eastAsia="Malgun Gothic" w:cs="Times New Roman"/>
            <w:noProof/>
            <w:vertAlign w:val="subscript"/>
            <w:lang w:eastAsia="zh-CN"/>
          </w:rPr>
          <w:t>uk</w:t>
        </w:r>
        <w:r w:rsidRPr="00894E1F">
          <w:rPr>
            <w:rStyle w:val="Hyperlink"/>
            <w:rFonts w:eastAsia="Malgun Gothic" w:cs="Times New Roman"/>
            <w:noProof/>
            <w:lang w:eastAsia="zh-CN"/>
          </w:rPr>
          <w:t>* (T</w:t>
        </w:r>
        <w:r w:rsidRPr="00894E1F">
          <w:rPr>
            <w:rStyle w:val="Hyperlink"/>
            <w:rFonts w:eastAsia="Malgun Gothic" w:cs="Times New Roman"/>
            <w:noProof/>
            <w:vertAlign w:val="subscript"/>
            <w:lang w:eastAsia="zh-CN"/>
          </w:rPr>
          <w:t>first-RS</w:t>
        </w:r>
        <w:r w:rsidRPr="00894E1F">
          <w:rPr>
            <w:rStyle w:val="Hyperlink"/>
            <w:rFonts w:eastAsia="Malgun Gothic" w:cs="Times New Roman"/>
            <w:noProof/>
            <w:lang w:eastAsia="zh-CN"/>
          </w:rPr>
          <w:t>+ T</w:t>
        </w:r>
        <w:r w:rsidRPr="00894E1F">
          <w:rPr>
            <w:rStyle w:val="Hyperlink"/>
            <w:rFonts w:eastAsia="Malgun Gothic" w:cs="Times New Roman"/>
            <w:noProof/>
            <w:vertAlign w:val="subscript"/>
            <w:lang w:eastAsia="zh-CN"/>
          </w:rPr>
          <w:t>SSB-proc</w:t>
        </w:r>
        <w:r w:rsidRPr="00894E1F">
          <w:rPr>
            <w:rStyle w:val="Hyperlink"/>
            <w:rFonts w:eastAsia="Malgun Gothic" w:cs="Times New Roman"/>
            <w:noProof/>
            <w:lang w:eastAsia="zh-CN"/>
          </w:rPr>
          <w:t>)</w:t>
        </w:r>
        <w:r w:rsidRPr="00894E1F">
          <w:rPr>
            <w:rStyle w:val="Hyperlink"/>
            <w:rFonts w:eastAsia="SimSun" w:cs="Times New Roman"/>
            <w:noProof/>
            <w:lang w:eastAsia="zh-CN"/>
          </w:rPr>
          <w:t xml:space="preserve">/ </w:t>
        </w:r>
        <w:r w:rsidRPr="00894E1F">
          <w:rPr>
            <w:rStyle w:val="Hyperlink"/>
            <w:rFonts w:eastAsia="SimSun" w:cs="Times New Roman"/>
            <w:i/>
            <w:noProof/>
            <w:lang w:eastAsia="zh-CN"/>
          </w:rPr>
          <w:t>NR slot length</w:t>
        </w:r>
        <w:r w:rsidRPr="00894E1F">
          <w:rPr>
            <w:rStyle w:val="Hyperlink"/>
            <w:rFonts w:eastAsia="SimSun" w:cs="Times New Roman"/>
            <w:noProof/>
            <w:lang w:eastAsia="zh-CN"/>
          </w:rPr>
          <w:t xml:space="preserve"> after receiving the MAC-CE command.</w:t>
        </w:r>
      </w:hyperlink>
    </w:p>
    <w:p w:rsidR="00740C4B" w:rsidRDefault="00740C4B" w14:paraId="1B45832F" w14:textId="3D087045">
      <w:pPr>
        <w:pStyle w:val="TOC4"/>
        <w:tabs>
          <w:tab w:val="right" w:leader="dot" w:pos="9617"/>
        </w:tabs>
        <w:rPr>
          <w:rFonts w:asciiTheme="minorHAnsi" w:hAnsiTheme="minorHAnsi" w:eastAsiaTheme="minorEastAsia"/>
          <w:noProof/>
          <w:kern w:val="2"/>
          <w:sz w:val="22"/>
          <w14:ligatures w14:val="standardContextual"/>
        </w:rPr>
      </w:pPr>
      <w:hyperlink w:history="1" w:anchor="_Toc149903160">
        <w:r w:rsidRPr="00894E1F">
          <w:rPr>
            <w:rStyle w:val="Hyperlink"/>
            <w:b/>
            <w:noProof/>
          </w:rPr>
          <w:t>Observation 1:</w:t>
        </w:r>
        <w:r w:rsidRPr="00894E1F">
          <w:rPr>
            <w:rStyle w:val="Hyperlink"/>
            <w:noProof/>
          </w:rPr>
          <w:t xml:space="preserve"> It is reasonable to assume that PL-RS of the TCI state is the SSB that is configured for L1-RSRP measurement for the candidate cell in question.</w:t>
        </w:r>
      </w:hyperlink>
    </w:p>
    <w:p w:rsidR="00740C4B" w:rsidRDefault="00740C4B" w14:paraId="54C6583F" w14:textId="1AA16F3B">
      <w:pPr>
        <w:pStyle w:val="TOC5"/>
        <w:rPr>
          <w:rFonts w:asciiTheme="minorHAnsi" w:hAnsiTheme="minorHAnsi" w:eastAsiaTheme="minorEastAsia"/>
          <w:b w:val="0"/>
          <w:noProof/>
          <w:kern w:val="2"/>
          <w:sz w:val="22"/>
          <w14:ligatures w14:val="standardContextual"/>
        </w:rPr>
      </w:pPr>
      <w:hyperlink w:history="1" w:anchor="_Toc149903161">
        <w:r w:rsidRPr="00894E1F">
          <w:rPr>
            <w:rStyle w:val="Hyperlink"/>
            <w:noProof/>
          </w:rPr>
          <w:t>Proposal 4: UE can perform PL-RS estimation based on the same SSB as is used for T/F tracking at TCI state activation. Hence, no additional delay due to PL-RS is needed when TCI state is activated before or at the cell switch.</w:t>
        </w:r>
      </w:hyperlink>
    </w:p>
    <w:p w:rsidR="00740C4B" w:rsidRDefault="00740C4B" w14:paraId="58344F3D" w14:textId="0F822AAE">
      <w:pPr>
        <w:pStyle w:val="TOC5"/>
        <w:rPr>
          <w:rFonts w:asciiTheme="minorHAnsi" w:hAnsiTheme="minorHAnsi" w:eastAsiaTheme="minorEastAsia"/>
          <w:b w:val="0"/>
          <w:noProof/>
          <w:kern w:val="2"/>
          <w:sz w:val="22"/>
          <w14:ligatures w14:val="standardContextual"/>
        </w:rPr>
      </w:pPr>
      <w:hyperlink w:history="1" w:anchor="_Toc149903162">
        <w:r w:rsidRPr="00894E1F">
          <w:rPr>
            <w:rStyle w:val="Hyperlink"/>
            <w:noProof/>
          </w:rPr>
          <w:t>Proposal 5: When the target TCI state in the LTM cell switch command is on the active TCI state list (and the measurement period is no longer than 160 ms), PL-RS is maintained, and no additional delay for PL-RS is needed in the cell switch.</w:t>
        </w:r>
      </w:hyperlink>
    </w:p>
    <w:p w:rsidR="00740C4B" w:rsidRDefault="00740C4B" w14:paraId="69D0B5A4" w14:textId="550722EB">
      <w:pPr>
        <w:pStyle w:val="TOC5"/>
        <w:rPr>
          <w:rFonts w:asciiTheme="minorHAnsi" w:hAnsiTheme="minorHAnsi" w:eastAsiaTheme="minorEastAsia"/>
          <w:b w:val="0"/>
          <w:noProof/>
          <w:kern w:val="2"/>
          <w:sz w:val="22"/>
          <w14:ligatures w14:val="standardContextual"/>
        </w:rPr>
      </w:pPr>
      <w:hyperlink w:history="1" w:anchor="_Toc149903163">
        <w:r w:rsidRPr="00894E1F">
          <w:rPr>
            <w:rStyle w:val="Hyperlink"/>
            <w:noProof/>
          </w:rPr>
          <w:t xml:space="preserve">Proposal 6: UE shall be able to maintain PL-RS </w:t>
        </w:r>
        <w:r w:rsidRPr="00894E1F">
          <w:rPr>
            <w:rStyle w:val="Hyperlink"/>
            <w:bCs/>
            <w:noProof/>
          </w:rPr>
          <w:t xml:space="preserve">associated with or included in the UL or joint TCI </w:t>
        </w:r>
        <w:r w:rsidRPr="00894E1F">
          <w:rPr>
            <w:rStyle w:val="Hyperlink"/>
            <w:noProof/>
          </w:rPr>
          <w:t>states in the LTM candidate cell active TCI state list.</w:t>
        </w:r>
      </w:hyperlink>
    </w:p>
    <w:p w:rsidR="0029156C" w:rsidP="00B14DB2" w:rsidRDefault="00A4355E" w14:paraId="1B5E7ACC" w14:textId="06D556A8">
      <w:pPr>
        <w:pStyle w:val="TOC5"/>
      </w:pPr>
      <w:r w:rsidRPr="00F51067">
        <w:rPr>
          <w:color w:val="FF0000"/>
        </w:rPr>
        <w:fldChar w:fldCharType="end"/>
      </w:r>
      <w:bookmarkStart w:name="_Toc116995849" w:id="9"/>
    </w:p>
    <w:p w:rsidR="0029156C" w:rsidP="0029156C" w:rsidRDefault="0029156C" w14:paraId="28CF2D60" w14:textId="5C038A25">
      <w:pPr>
        <w:pStyle w:val="RAN4H1"/>
      </w:pPr>
      <w:r>
        <w:t>References</w:t>
      </w:r>
    </w:p>
    <w:p w:rsidRPr="008C39F7" w:rsidR="0060543D" w:rsidP="005C58E7" w:rsidRDefault="008D5607" w14:paraId="79DE8300" w14:textId="3367B78B">
      <w:r>
        <w:t xml:space="preserve">[1] </w:t>
      </w:r>
      <w:r w:rsidR="005C58E7">
        <w:t>R4-2317330</w:t>
      </w:r>
      <w:r w:rsidR="005C58E7">
        <w:t xml:space="preserve">, </w:t>
      </w:r>
      <w:r w:rsidR="005C58E7">
        <w:t>WF on NR mobility enhancements (part 1)</w:t>
      </w:r>
      <w:bookmarkEnd w:id="9"/>
      <w:r w:rsidR="005C58E7">
        <w:t xml:space="preserve">, MediaTek, </w:t>
      </w:r>
      <w:r w:rsidR="00B02CFB">
        <w:rPr>
          <w:rFonts w:cs="Times New Roman"/>
          <w:lang w:val="en-GB"/>
        </w:rPr>
        <w:t xml:space="preserve">RAN4#108bis meeting, Xiamen, China, 9-13 </w:t>
      </w:r>
      <w:proofErr w:type="gramStart"/>
      <w:r w:rsidR="00B02CFB">
        <w:rPr>
          <w:rFonts w:cs="Times New Roman"/>
          <w:lang w:val="en-GB"/>
        </w:rPr>
        <w:t>October,</w:t>
      </w:r>
      <w:proofErr w:type="gramEnd"/>
      <w:r w:rsidR="00B02CFB">
        <w:rPr>
          <w:rFonts w:cs="Times New Roman"/>
          <w:lang w:val="en-GB"/>
        </w:rPr>
        <w:t xml:space="preserve"> 2023</w:t>
      </w:r>
    </w:p>
    <w:sectPr w:rsidRPr="008C39F7"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051C7" w:rsidP="00001C9B" w:rsidRDefault="00B051C7" w14:paraId="1F94B11D" w14:textId="77777777">
      <w:pPr>
        <w:spacing w:after="0" w:line="240" w:lineRule="auto"/>
      </w:pPr>
      <w:r>
        <w:separator/>
      </w:r>
    </w:p>
  </w:endnote>
  <w:endnote w:type="continuationSeparator" w:id="0">
    <w:p w:rsidR="00B051C7" w:rsidP="00001C9B" w:rsidRDefault="00B051C7" w14:paraId="1B1926C1" w14:textId="77777777">
      <w:pPr>
        <w:spacing w:after="0" w:line="240" w:lineRule="auto"/>
      </w:pPr>
      <w:r>
        <w:continuationSeparator/>
      </w:r>
    </w:p>
  </w:endnote>
  <w:endnote w:type="continuationNotice" w:id="1">
    <w:p w:rsidR="00B051C7" w:rsidRDefault="00B051C7" w14:paraId="59CB5E7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051C7" w:rsidP="00001C9B" w:rsidRDefault="00B051C7" w14:paraId="40438941" w14:textId="77777777">
      <w:pPr>
        <w:spacing w:after="0" w:line="240" w:lineRule="auto"/>
      </w:pPr>
      <w:r>
        <w:separator/>
      </w:r>
    </w:p>
  </w:footnote>
  <w:footnote w:type="continuationSeparator" w:id="0">
    <w:p w:rsidR="00B051C7" w:rsidP="00001C9B" w:rsidRDefault="00B051C7" w14:paraId="52A3F9EF" w14:textId="77777777">
      <w:pPr>
        <w:spacing w:after="0" w:line="240" w:lineRule="auto"/>
      </w:pPr>
      <w:r>
        <w:continuationSeparator/>
      </w:r>
    </w:p>
  </w:footnote>
  <w:footnote w:type="continuationNotice" w:id="1">
    <w:p w:rsidR="00B051C7" w:rsidRDefault="00B051C7" w14:paraId="719760E7"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1FC2"/>
    <w:multiLevelType w:val="multilevel"/>
    <w:tmpl w:val="158E4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CA2F90"/>
    <w:multiLevelType w:val="multilevel"/>
    <w:tmpl w:val="B074BF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38E1D73"/>
    <w:multiLevelType w:val="multilevel"/>
    <w:tmpl w:val="072695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8A95A39"/>
    <w:multiLevelType w:val="hybridMultilevel"/>
    <w:tmpl w:val="F4D053A4"/>
    <w:lvl w:ilvl="0" w:tplc="3620D0F2">
      <w:start w:val="1"/>
      <w:numFmt w:val="bullet"/>
      <w:lvlText w:val=""/>
      <w:lvlJc w:val="left"/>
      <w:pPr>
        <w:ind w:left="880" w:hanging="360"/>
      </w:pPr>
      <w:rPr>
        <w:rFonts w:ascii="Symbol" w:hAnsi="Symbol"/>
      </w:rPr>
    </w:lvl>
    <w:lvl w:ilvl="1" w:tplc="74208BC8">
      <w:start w:val="1"/>
      <w:numFmt w:val="bullet"/>
      <w:lvlText w:val=""/>
      <w:lvlJc w:val="left"/>
      <w:pPr>
        <w:ind w:left="880" w:hanging="360"/>
      </w:pPr>
      <w:rPr>
        <w:rFonts w:ascii="Symbol" w:hAnsi="Symbol"/>
      </w:rPr>
    </w:lvl>
    <w:lvl w:ilvl="2" w:tplc="EEDCF822">
      <w:start w:val="1"/>
      <w:numFmt w:val="bullet"/>
      <w:lvlText w:val=""/>
      <w:lvlJc w:val="left"/>
      <w:pPr>
        <w:ind w:left="880" w:hanging="360"/>
      </w:pPr>
      <w:rPr>
        <w:rFonts w:ascii="Symbol" w:hAnsi="Symbol"/>
      </w:rPr>
    </w:lvl>
    <w:lvl w:ilvl="3" w:tplc="ECD448D4">
      <w:start w:val="1"/>
      <w:numFmt w:val="bullet"/>
      <w:lvlText w:val=""/>
      <w:lvlJc w:val="left"/>
      <w:pPr>
        <w:ind w:left="880" w:hanging="360"/>
      </w:pPr>
      <w:rPr>
        <w:rFonts w:ascii="Symbol" w:hAnsi="Symbol"/>
      </w:rPr>
    </w:lvl>
    <w:lvl w:ilvl="4" w:tplc="5A085B62">
      <w:start w:val="1"/>
      <w:numFmt w:val="bullet"/>
      <w:lvlText w:val=""/>
      <w:lvlJc w:val="left"/>
      <w:pPr>
        <w:ind w:left="880" w:hanging="360"/>
      </w:pPr>
      <w:rPr>
        <w:rFonts w:ascii="Symbol" w:hAnsi="Symbol"/>
      </w:rPr>
    </w:lvl>
    <w:lvl w:ilvl="5" w:tplc="26142406">
      <w:start w:val="1"/>
      <w:numFmt w:val="bullet"/>
      <w:lvlText w:val=""/>
      <w:lvlJc w:val="left"/>
      <w:pPr>
        <w:ind w:left="880" w:hanging="360"/>
      </w:pPr>
      <w:rPr>
        <w:rFonts w:ascii="Symbol" w:hAnsi="Symbol"/>
      </w:rPr>
    </w:lvl>
    <w:lvl w:ilvl="6" w:tplc="708C4AF4">
      <w:start w:val="1"/>
      <w:numFmt w:val="bullet"/>
      <w:lvlText w:val=""/>
      <w:lvlJc w:val="left"/>
      <w:pPr>
        <w:ind w:left="880" w:hanging="360"/>
      </w:pPr>
      <w:rPr>
        <w:rFonts w:ascii="Symbol" w:hAnsi="Symbol"/>
      </w:rPr>
    </w:lvl>
    <w:lvl w:ilvl="7" w:tplc="041C0A9C">
      <w:start w:val="1"/>
      <w:numFmt w:val="bullet"/>
      <w:lvlText w:val=""/>
      <w:lvlJc w:val="left"/>
      <w:pPr>
        <w:ind w:left="880" w:hanging="360"/>
      </w:pPr>
      <w:rPr>
        <w:rFonts w:ascii="Symbol" w:hAnsi="Symbol"/>
      </w:rPr>
    </w:lvl>
    <w:lvl w:ilvl="8" w:tplc="768C4632">
      <w:start w:val="1"/>
      <w:numFmt w:val="bullet"/>
      <w:lvlText w:val=""/>
      <w:lvlJc w:val="left"/>
      <w:pPr>
        <w:ind w:left="880" w:hanging="360"/>
      </w:pPr>
      <w:rPr>
        <w:rFonts w:ascii="Symbol" w:hAnsi="Symbol"/>
      </w:rPr>
    </w:lvl>
  </w:abstractNum>
  <w:abstractNum w:abstractNumId="4" w15:restartNumberingAfterBreak="0">
    <w:nsid w:val="0D7D1A93"/>
    <w:multiLevelType w:val="hybridMultilevel"/>
    <w:tmpl w:val="808275A6"/>
    <w:lvl w:ilvl="0" w:tplc="CB0078D8">
      <w:start w:val="3"/>
      <w:numFmt w:val="bullet"/>
      <w:lvlText w:val=""/>
      <w:lvlJc w:val="left"/>
      <w:pPr>
        <w:ind w:left="720" w:hanging="360"/>
      </w:pPr>
      <w:rPr>
        <w:rFonts w:hint="default" w:ascii="Symbol" w:hAnsi="Symbol" w:cs="Arial"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1F35289"/>
    <w:multiLevelType w:val="multilevel"/>
    <w:tmpl w:val="4F0E59A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2A0414D"/>
    <w:multiLevelType w:val="multilevel"/>
    <w:tmpl w:val="ECEA4CA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3CE0C69"/>
    <w:multiLevelType w:val="multilevel"/>
    <w:tmpl w:val="9CE6B21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5936DB6"/>
    <w:multiLevelType w:val="multilevel"/>
    <w:tmpl w:val="65B2CC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6E51653"/>
    <w:multiLevelType w:val="multilevel"/>
    <w:tmpl w:val="3D507C0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8884FA7"/>
    <w:multiLevelType w:val="multilevel"/>
    <w:tmpl w:val="0B02BE5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19406233"/>
    <w:multiLevelType w:val="hybridMultilevel"/>
    <w:tmpl w:val="441A03DA"/>
    <w:lvl w:ilvl="0" w:tplc="A6DCEB52">
      <w:numFmt w:val="bullet"/>
      <w:lvlText w:val="-"/>
      <w:lvlJc w:val="left"/>
      <w:pPr>
        <w:ind w:left="360" w:hanging="360"/>
      </w:pPr>
      <w:rPr>
        <w:rFonts w:hint="default" w:ascii="Times New Roman" w:hAnsi="Times New Roman" w:cs="Times New Roman" w:eastAsiaTheme="minorEastAsia"/>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2" w15:restartNumberingAfterBreak="0">
    <w:nsid w:val="19741AAA"/>
    <w:multiLevelType w:val="multilevel"/>
    <w:tmpl w:val="24485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CD30C3F"/>
    <w:multiLevelType w:val="multilevel"/>
    <w:tmpl w:val="FA8EC34A"/>
    <w:lvl w:ilvl="0">
      <w:start w:val="1"/>
      <w:numFmt w:val="bullet"/>
      <w:lvlText w:val=""/>
      <w:lvlJc w:val="left"/>
      <w:pPr>
        <w:tabs>
          <w:tab w:val="num" w:pos="200"/>
        </w:tabs>
        <w:ind w:left="200" w:hanging="360"/>
      </w:pPr>
      <w:rPr>
        <w:rFonts w:hint="default" w:ascii="Symbol" w:hAnsi="Symbol"/>
        <w:sz w:val="20"/>
      </w:rPr>
    </w:lvl>
    <w:lvl w:ilvl="1" w:tentative="1">
      <w:start w:val="1"/>
      <w:numFmt w:val="bullet"/>
      <w:lvlText w:val="o"/>
      <w:lvlJc w:val="left"/>
      <w:pPr>
        <w:tabs>
          <w:tab w:val="num" w:pos="920"/>
        </w:tabs>
        <w:ind w:left="920" w:hanging="360"/>
      </w:pPr>
      <w:rPr>
        <w:rFonts w:hint="default" w:ascii="Courier New" w:hAnsi="Courier New"/>
        <w:sz w:val="20"/>
      </w:rPr>
    </w:lvl>
    <w:lvl w:ilvl="2" w:tentative="1">
      <w:start w:val="1"/>
      <w:numFmt w:val="bullet"/>
      <w:lvlText w:val=""/>
      <w:lvlJc w:val="left"/>
      <w:pPr>
        <w:tabs>
          <w:tab w:val="num" w:pos="1640"/>
        </w:tabs>
        <w:ind w:left="1640" w:hanging="360"/>
      </w:pPr>
      <w:rPr>
        <w:rFonts w:hint="default" w:ascii="Wingdings" w:hAnsi="Wingdings"/>
        <w:sz w:val="20"/>
      </w:rPr>
    </w:lvl>
    <w:lvl w:ilvl="3" w:tentative="1">
      <w:start w:val="1"/>
      <w:numFmt w:val="bullet"/>
      <w:lvlText w:val=""/>
      <w:lvlJc w:val="left"/>
      <w:pPr>
        <w:tabs>
          <w:tab w:val="num" w:pos="2360"/>
        </w:tabs>
        <w:ind w:left="2360" w:hanging="360"/>
      </w:pPr>
      <w:rPr>
        <w:rFonts w:hint="default" w:ascii="Wingdings" w:hAnsi="Wingdings"/>
        <w:sz w:val="20"/>
      </w:rPr>
    </w:lvl>
    <w:lvl w:ilvl="4" w:tentative="1">
      <w:start w:val="1"/>
      <w:numFmt w:val="bullet"/>
      <w:lvlText w:val=""/>
      <w:lvlJc w:val="left"/>
      <w:pPr>
        <w:tabs>
          <w:tab w:val="num" w:pos="3080"/>
        </w:tabs>
        <w:ind w:left="3080" w:hanging="360"/>
      </w:pPr>
      <w:rPr>
        <w:rFonts w:hint="default" w:ascii="Wingdings" w:hAnsi="Wingdings"/>
        <w:sz w:val="20"/>
      </w:rPr>
    </w:lvl>
    <w:lvl w:ilvl="5" w:tentative="1">
      <w:start w:val="1"/>
      <w:numFmt w:val="bullet"/>
      <w:lvlText w:val=""/>
      <w:lvlJc w:val="left"/>
      <w:pPr>
        <w:tabs>
          <w:tab w:val="num" w:pos="3800"/>
        </w:tabs>
        <w:ind w:left="3800" w:hanging="360"/>
      </w:pPr>
      <w:rPr>
        <w:rFonts w:hint="default" w:ascii="Wingdings" w:hAnsi="Wingdings"/>
        <w:sz w:val="20"/>
      </w:rPr>
    </w:lvl>
    <w:lvl w:ilvl="6" w:tentative="1">
      <w:start w:val="1"/>
      <w:numFmt w:val="bullet"/>
      <w:lvlText w:val=""/>
      <w:lvlJc w:val="left"/>
      <w:pPr>
        <w:tabs>
          <w:tab w:val="num" w:pos="4520"/>
        </w:tabs>
        <w:ind w:left="4520" w:hanging="360"/>
      </w:pPr>
      <w:rPr>
        <w:rFonts w:hint="default" w:ascii="Wingdings" w:hAnsi="Wingdings"/>
        <w:sz w:val="20"/>
      </w:rPr>
    </w:lvl>
    <w:lvl w:ilvl="7" w:tentative="1">
      <w:start w:val="1"/>
      <w:numFmt w:val="bullet"/>
      <w:lvlText w:val=""/>
      <w:lvlJc w:val="left"/>
      <w:pPr>
        <w:tabs>
          <w:tab w:val="num" w:pos="5240"/>
        </w:tabs>
        <w:ind w:left="5240" w:hanging="360"/>
      </w:pPr>
      <w:rPr>
        <w:rFonts w:hint="default" w:ascii="Wingdings" w:hAnsi="Wingdings"/>
        <w:sz w:val="20"/>
      </w:rPr>
    </w:lvl>
    <w:lvl w:ilvl="8" w:tentative="1">
      <w:start w:val="1"/>
      <w:numFmt w:val="bullet"/>
      <w:lvlText w:val=""/>
      <w:lvlJc w:val="left"/>
      <w:pPr>
        <w:tabs>
          <w:tab w:val="num" w:pos="5960"/>
        </w:tabs>
        <w:ind w:left="5960" w:hanging="360"/>
      </w:pPr>
      <w:rPr>
        <w:rFonts w:hint="default" w:ascii="Wingdings" w:hAnsi="Wingdings"/>
        <w:sz w:val="20"/>
      </w:rPr>
    </w:lvl>
  </w:abstractNum>
  <w:abstractNum w:abstractNumId="14" w15:restartNumberingAfterBreak="0">
    <w:nsid w:val="1F4E3668"/>
    <w:multiLevelType w:val="hybridMultilevel"/>
    <w:tmpl w:val="6A84C8DE"/>
    <w:lvl w:ilvl="0" w:tplc="8CC037D0">
      <w:start w:val="2"/>
      <w:numFmt w:val="bullet"/>
      <w:lvlText w:val="-"/>
      <w:lvlJc w:val="left"/>
      <w:pPr>
        <w:ind w:left="720" w:hanging="360"/>
      </w:pPr>
      <w:rPr>
        <w:rFonts w:hint="default" w:ascii="Times New Roman" w:hAnsi="Times New Roman" w:cs="Times New Roman"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222F18C4"/>
    <w:multiLevelType w:val="multilevel"/>
    <w:tmpl w:val="9932BA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9FC5963"/>
    <w:multiLevelType w:val="multilevel"/>
    <w:tmpl w:val="CFB4D4B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2BCC6B7B"/>
    <w:multiLevelType w:val="multilevel"/>
    <w:tmpl w:val="59C8A1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2BD54E56"/>
    <w:multiLevelType w:val="multilevel"/>
    <w:tmpl w:val="EBEC47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32B45A41"/>
    <w:multiLevelType w:val="multilevel"/>
    <w:tmpl w:val="571A04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37B31736"/>
    <w:multiLevelType w:val="multilevel"/>
    <w:tmpl w:val="504CDCD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39F9498F"/>
    <w:multiLevelType w:val="multilevel"/>
    <w:tmpl w:val="5D5614D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44010B6B"/>
    <w:multiLevelType w:val="hybridMultilevel"/>
    <w:tmpl w:val="6B0416FE"/>
    <w:lvl w:ilvl="0" w:tplc="FFFFFFFF">
      <w:numFmt w:val="bullet"/>
      <w:lvlText w:val="-"/>
      <w:lvlJc w:val="left"/>
      <w:pPr>
        <w:ind w:left="360" w:hanging="360"/>
      </w:pPr>
      <w:rPr>
        <w:rFonts w:hint="default" w:ascii="Times New Roman" w:hAnsi="Times New Roman" w:cs="Times New Roman" w:eastAsiaTheme="minorEastAsia"/>
      </w:rPr>
    </w:lvl>
    <w:lvl w:ilvl="1" w:tplc="BF5234E4">
      <w:numFmt w:val="bullet"/>
      <w:lvlText w:val="-"/>
      <w:lvlJc w:val="left"/>
      <w:pPr>
        <w:ind w:left="780" w:hanging="360"/>
      </w:pPr>
      <w:rPr>
        <w:rFonts w:hint="default" w:ascii="Times New Roman" w:hAnsi="Times New Roman" w:cs="Times New Roman" w:eastAsiaTheme="minorHAnsi"/>
      </w:rPr>
    </w:lvl>
    <w:lvl w:ilvl="2" w:tplc="FFFFFFFF" w:tentative="1">
      <w:start w:val="1"/>
      <w:numFmt w:val="bullet"/>
      <w:lvlText w:val=""/>
      <w:lvlJc w:val="left"/>
      <w:pPr>
        <w:ind w:left="1260" w:hanging="420"/>
      </w:pPr>
      <w:rPr>
        <w:rFonts w:hint="default" w:ascii="Wingdings" w:hAnsi="Wingdings"/>
      </w:rPr>
    </w:lvl>
    <w:lvl w:ilvl="3" w:tplc="FFFFFFFF" w:tentative="1">
      <w:start w:val="1"/>
      <w:numFmt w:val="bullet"/>
      <w:lvlText w:val=""/>
      <w:lvlJc w:val="left"/>
      <w:pPr>
        <w:ind w:left="1680" w:hanging="420"/>
      </w:pPr>
      <w:rPr>
        <w:rFonts w:hint="default" w:ascii="Wingdings" w:hAnsi="Wingdings"/>
      </w:rPr>
    </w:lvl>
    <w:lvl w:ilvl="4" w:tplc="FFFFFFFF" w:tentative="1">
      <w:start w:val="1"/>
      <w:numFmt w:val="bullet"/>
      <w:lvlText w:val=""/>
      <w:lvlJc w:val="left"/>
      <w:pPr>
        <w:ind w:left="2100" w:hanging="420"/>
      </w:pPr>
      <w:rPr>
        <w:rFonts w:hint="default" w:ascii="Wingdings" w:hAnsi="Wingdings"/>
      </w:rPr>
    </w:lvl>
    <w:lvl w:ilvl="5" w:tplc="FFFFFFFF" w:tentative="1">
      <w:start w:val="1"/>
      <w:numFmt w:val="bullet"/>
      <w:lvlText w:val=""/>
      <w:lvlJc w:val="left"/>
      <w:pPr>
        <w:ind w:left="2520" w:hanging="420"/>
      </w:pPr>
      <w:rPr>
        <w:rFonts w:hint="default" w:ascii="Wingdings" w:hAnsi="Wingdings"/>
      </w:rPr>
    </w:lvl>
    <w:lvl w:ilvl="6" w:tplc="FFFFFFFF" w:tentative="1">
      <w:start w:val="1"/>
      <w:numFmt w:val="bullet"/>
      <w:lvlText w:val=""/>
      <w:lvlJc w:val="left"/>
      <w:pPr>
        <w:ind w:left="2940" w:hanging="420"/>
      </w:pPr>
      <w:rPr>
        <w:rFonts w:hint="default" w:ascii="Wingdings" w:hAnsi="Wingdings"/>
      </w:rPr>
    </w:lvl>
    <w:lvl w:ilvl="7" w:tplc="FFFFFFFF" w:tentative="1">
      <w:start w:val="1"/>
      <w:numFmt w:val="bullet"/>
      <w:lvlText w:val=""/>
      <w:lvlJc w:val="left"/>
      <w:pPr>
        <w:ind w:left="3360" w:hanging="420"/>
      </w:pPr>
      <w:rPr>
        <w:rFonts w:hint="default" w:ascii="Wingdings" w:hAnsi="Wingdings"/>
      </w:rPr>
    </w:lvl>
    <w:lvl w:ilvl="8" w:tplc="FFFFFFFF" w:tentative="1">
      <w:start w:val="1"/>
      <w:numFmt w:val="bullet"/>
      <w:lvlText w:val=""/>
      <w:lvlJc w:val="left"/>
      <w:pPr>
        <w:ind w:left="3780" w:hanging="420"/>
      </w:pPr>
      <w:rPr>
        <w:rFonts w:hint="default" w:ascii="Wingdings" w:hAnsi="Wingdings"/>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6E3167"/>
    <w:multiLevelType w:val="hybridMultilevel"/>
    <w:tmpl w:val="FDFAE76E"/>
    <w:lvl w:ilvl="0" w:tplc="BB7AA7C6">
      <w:start w:val="1"/>
      <w:numFmt w:val="decimal"/>
      <w:pStyle w:val="RAN4proposal"/>
      <w:suff w:val="space"/>
      <w:lvlText w:val="Proposal %1:"/>
      <w:lvlJc w:val="left"/>
      <w:pPr>
        <w:ind w:left="360" w:hanging="360"/>
      </w:pPr>
      <w:rPr>
        <w:rFonts w:hint="default" w:ascii="Times New Roman" w:hAnsi="Times New Roman"/>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hint="default" w:ascii="Times New Roman" w:hAnsi="Times New Roman"/>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777952"/>
    <w:multiLevelType w:val="multilevel"/>
    <w:tmpl w:val="3594D1D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51B5534F"/>
    <w:multiLevelType w:val="multilevel"/>
    <w:tmpl w:val="834C5FB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52F83102"/>
    <w:multiLevelType w:val="hybridMultilevel"/>
    <w:tmpl w:val="AFEED176"/>
    <w:lvl w:ilvl="0" w:tplc="8CC037D0">
      <w:start w:val="2"/>
      <w:numFmt w:val="bullet"/>
      <w:lvlText w:val="-"/>
      <w:lvlJc w:val="left"/>
      <w:pPr>
        <w:ind w:left="720" w:hanging="360"/>
      </w:pPr>
      <w:rPr>
        <w:rFonts w:hint="default" w:ascii="Times New Roman" w:hAnsi="Times New Roman" w:cs="Times New Roman"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hint="default" w:ascii="Symbol" w:hAnsi="Symbol"/>
      </w:rPr>
    </w:lvl>
    <w:lvl w:ilvl="1" w:tplc="04190003">
      <w:start w:val="1"/>
      <w:numFmt w:val="bullet"/>
      <w:lvlText w:val="o"/>
      <w:lvlJc w:val="left"/>
      <w:pPr>
        <w:ind w:left="1080" w:hanging="360"/>
      </w:pPr>
      <w:rPr>
        <w:rFonts w:hint="default" w:ascii="Courier New" w:hAnsi="Courier New" w:cs="Courier New"/>
      </w:rPr>
    </w:lvl>
    <w:lvl w:ilvl="2" w:tplc="04190005">
      <w:start w:val="1"/>
      <w:numFmt w:val="bullet"/>
      <w:lvlText w:val=""/>
      <w:lvlJc w:val="left"/>
      <w:pPr>
        <w:ind w:left="1800" w:hanging="360"/>
      </w:pPr>
      <w:rPr>
        <w:rFonts w:hint="default" w:ascii="Wingdings" w:hAnsi="Wingdings"/>
      </w:rPr>
    </w:lvl>
    <w:lvl w:ilvl="3" w:tplc="04190001">
      <w:start w:val="1"/>
      <w:numFmt w:val="bullet"/>
      <w:lvlText w:val=""/>
      <w:lvlJc w:val="left"/>
      <w:pPr>
        <w:ind w:left="2520" w:hanging="360"/>
      </w:pPr>
      <w:rPr>
        <w:rFonts w:hint="default" w:ascii="Symbol" w:hAnsi="Symbol"/>
      </w:rPr>
    </w:lvl>
    <w:lvl w:ilvl="4" w:tplc="04190003">
      <w:start w:val="1"/>
      <w:numFmt w:val="bullet"/>
      <w:lvlText w:val="o"/>
      <w:lvlJc w:val="left"/>
      <w:pPr>
        <w:ind w:left="3240" w:hanging="360"/>
      </w:pPr>
      <w:rPr>
        <w:rFonts w:hint="default" w:ascii="Courier New" w:hAnsi="Courier New" w:cs="Courier New"/>
      </w:rPr>
    </w:lvl>
    <w:lvl w:ilvl="5" w:tplc="04190005">
      <w:start w:val="1"/>
      <w:numFmt w:val="bullet"/>
      <w:lvlText w:val=""/>
      <w:lvlJc w:val="left"/>
      <w:pPr>
        <w:ind w:left="3960" w:hanging="360"/>
      </w:pPr>
      <w:rPr>
        <w:rFonts w:hint="default" w:ascii="Wingdings" w:hAnsi="Wingdings"/>
      </w:rPr>
    </w:lvl>
    <w:lvl w:ilvl="6" w:tplc="04190001">
      <w:start w:val="1"/>
      <w:numFmt w:val="bullet"/>
      <w:lvlText w:val=""/>
      <w:lvlJc w:val="left"/>
      <w:pPr>
        <w:ind w:left="4680" w:hanging="360"/>
      </w:pPr>
      <w:rPr>
        <w:rFonts w:hint="default" w:ascii="Symbol" w:hAnsi="Symbol"/>
      </w:rPr>
    </w:lvl>
    <w:lvl w:ilvl="7" w:tplc="04190003">
      <w:start w:val="1"/>
      <w:numFmt w:val="bullet"/>
      <w:lvlText w:val="o"/>
      <w:lvlJc w:val="left"/>
      <w:pPr>
        <w:ind w:left="5400" w:hanging="360"/>
      </w:pPr>
      <w:rPr>
        <w:rFonts w:hint="default" w:ascii="Courier New" w:hAnsi="Courier New" w:cs="Courier New"/>
      </w:rPr>
    </w:lvl>
    <w:lvl w:ilvl="8" w:tplc="04190005">
      <w:start w:val="1"/>
      <w:numFmt w:val="bullet"/>
      <w:lvlText w:val=""/>
      <w:lvlJc w:val="left"/>
      <w:pPr>
        <w:ind w:left="6120" w:hanging="360"/>
      </w:pPr>
      <w:rPr>
        <w:rFonts w:hint="default" w:ascii="Wingdings" w:hAnsi="Wingdings"/>
      </w:rPr>
    </w:lvl>
  </w:abstractNum>
  <w:abstractNum w:abstractNumId="30" w15:restartNumberingAfterBreak="0">
    <w:nsid w:val="5D2815B4"/>
    <w:multiLevelType w:val="hybridMultilevel"/>
    <w:tmpl w:val="8EC817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5D8F0759"/>
    <w:multiLevelType w:val="multilevel"/>
    <w:tmpl w:val="FDD223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4C23B5B"/>
    <w:multiLevelType w:val="multilevel"/>
    <w:tmpl w:val="B00649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914BDA"/>
    <w:multiLevelType w:val="multilevel"/>
    <w:tmpl w:val="638C52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6A283F22"/>
    <w:multiLevelType w:val="multilevel"/>
    <w:tmpl w:val="5AEC8F9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1115AAC"/>
    <w:multiLevelType w:val="multilevel"/>
    <w:tmpl w:val="71115AAC"/>
    <w:lvl w:ilvl="0">
      <w:numFmt w:val="bullet"/>
      <w:lvlText w:val="-"/>
      <w:lvlJc w:val="left"/>
      <w:pPr>
        <w:ind w:left="360" w:hanging="360"/>
      </w:pPr>
      <w:rPr>
        <w:rFonts w:hint="default" w:ascii="Times New Roman" w:hAnsi="Times New Roman" w:eastAsia="MS Gothic" w:cs="Times New Roman"/>
      </w:rPr>
    </w:lvl>
    <w:lvl w:ilvl="1">
      <w:start w:val="4"/>
      <w:numFmt w:val="bullet"/>
      <w:lvlText w:val="-"/>
      <w:lvlJc w:val="left"/>
      <w:pPr>
        <w:ind w:left="840" w:hanging="420"/>
      </w:pPr>
      <w:rPr>
        <w:rFonts w:hint="eastAsia" w:ascii="Yu Gothic" w:hAnsi="Yu Gothic" w:eastAsia="Yu Gothic" w:cs="MS PGothic"/>
      </w:rPr>
    </w:lvl>
    <w:lvl w:ilvl="2">
      <w:start w:val="4"/>
      <w:numFmt w:val="bullet"/>
      <w:lvlText w:val="-"/>
      <w:lvlJc w:val="left"/>
      <w:pPr>
        <w:ind w:left="1260" w:hanging="420"/>
      </w:pPr>
      <w:rPr>
        <w:rFonts w:hint="eastAsia" w:ascii="Yu Gothic" w:hAnsi="Yu Gothic" w:eastAsia="Yu Gothic" w:cs="MS PGothic"/>
      </w:rPr>
    </w:lvl>
    <w:lvl w:ilvl="3">
      <w:start w:val="4"/>
      <w:numFmt w:val="bullet"/>
      <w:lvlText w:val="-"/>
      <w:lvlJc w:val="left"/>
      <w:pPr>
        <w:ind w:left="1680" w:hanging="420"/>
      </w:pPr>
      <w:rPr>
        <w:rFonts w:hint="eastAsia" w:ascii="Yu Gothic" w:hAnsi="Yu Gothic" w:eastAsia="Yu Gothic" w:cs="MS PGothic"/>
      </w:rPr>
    </w:lvl>
    <w:lvl w:ilvl="4">
      <w:start w:val="4"/>
      <w:numFmt w:val="bullet"/>
      <w:lvlText w:val="-"/>
      <w:lvlJc w:val="left"/>
      <w:pPr>
        <w:ind w:left="2100" w:hanging="420"/>
      </w:pPr>
      <w:rPr>
        <w:rFonts w:hint="eastAsia" w:ascii="Yu Gothic" w:hAnsi="Yu Gothic" w:eastAsia="Yu Gothic" w:cs="MS PGothic"/>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num w:numId="1" w16cid:durableId="1792749823">
    <w:abstractNumId w:val="25"/>
  </w:num>
  <w:num w:numId="2" w16cid:durableId="80681869">
    <w:abstractNumId w:val="23"/>
  </w:num>
  <w:num w:numId="3" w16cid:durableId="1566528953">
    <w:abstractNumId w:val="24"/>
  </w:num>
  <w:num w:numId="4" w16cid:durableId="1456096507">
    <w:abstractNumId w:val="33"/>
  </w:num>
  <w:num w:numId="5" w16cid:durableId="1829207991">
    <w:abstractNumId w:val="37"/>
  </w:num>
  <w:num w:numId="6" w16cid:durableId="666861254">
    <w:abstractNumId w:val="4"/>
  </w:num>
  <w:num w:numId="7" w16cid:durableId="866984813">
    <w:abstractNumId w:val="29"/>
  </w:num>
  <w:num w:numId="8" w16cid:durableId="1679961612">
    <w:abstractNumId w:val="36"/>
  </w:num>
  <w:num w:numId="9" w16cid:durableId="618990797">
    <w:abstractNumId w:val="3"/>
  </w:num>
  <w:num w:numId="10" w16cid:durableId="1482230266">
    <w:abstractNumId w:val="13"/>
  </w:num>
  <w:num w:numId="11" w16cid:durableId="712658401">
    <w:abstractNumId w:val="12"/>
    <w:lvlOverride w:ilvl="0">
      <w:startOverride w:val="1"/>
    </w:lvlOverride>
  </w:num>
  <w:num w:numId="12" w16cid:durableId="1708677022">
    <w:abstractNumId w:val="7"/>
  </w:num>
  <w:num w:numId="13" w16cid:durableId="330984980">
    <w:abstractNumId w:val="31"/>
  </w:num>
  <w:num w:numId="14" w16cid:durableId="1304191715">
    <w:abstractNumId w:val="17"/>
  </w:num>
  <w:num w:numId="15" w16cid:durableId="1678924062">
    <w:abstractNumId w:val="21"/>
  </w:num>
  <w:num w:numId="16" w16cid:durableId="194395355">
    <w:abstractNumId w:val="35"/>
  </w:num>
  <w:num w:numId="17" w16cid:durableId="1530488320">
    <w:abstractNumId w:val="1"/>
  </w:num>
  <w:num w:numId="18" w16cid:durableId="1639725733">
    <w:abstractNumId w:val="19"/>
  </w:num>
  <w:num w:numId="19" w16cid:durableId="834035232">
    <w:abstractNumId w:val="0"/>
    <w:lvlOverride w:ilvl="0">
      <w:startOverride w:val="2"/>
    </w:lvlOverride>
  </w:num>
  <w:num w:numId="20" w16cid:durableId="1770151665">
    <w:abstractNumId w:val="6"/>
  </w:num>
  <w:num w:numId="21" w16cid:durableId="128285193">
    <w:abstractNumId w:val="34"/>
  </w:num>
  <w:num w:numId="22" w16cid:durableId="2005620760">
    <w:abstractNumId w:val="26"/>
  </w:num>
  <w:num w:numId="23" w16cid:durableId="1327786356">
    <w:abstractNumId w:val="5"/>
  </w:num>
  <w:num w:numId="24" w16cid:durableId="1398019669">
    <w:abstractNumId w:val="20"/>
  </w:num>
  <w:num w:numId="25" w16cid:durableId="1627540763">
    <w:abstractNumId w:val="15"/>
  </w:num>
  <w:num w:numId="26" w16cid:durableId="1419790016">
    <w:abstractNumId w:val="10"/>
  </w:num>
  <w:num w:numId="27" w16cid:durableId="2009093050">
    <w:abstractNumId w:val="16"/>
  </w:num>
  <w:num w:numId="28" w16cid:durableId="1521435609">
    <w:abstractNumId w:val="8"/>
  </w:num>
  <w:num w:numId="29" w16cid:durableId="502665952">
    <w:abstractNumId w:val="32"/>
  </w:num>
  <w:num w:numId="30" w16cid:durableId="1054886596">
    <w:abstractNumId w:val="2"/>
  </w:num>
  <w:num w:numId="31" w16cid:durableId="166020278">
    <w:abstractNumId w:val="18"/>
  </w:num>
  <w:num w:numId="32" w16cid:durableId="1427117360">
    <w:abstractNumId w:val="11"/>
  </w:num>
  <w:num w:numId="33" w16cid:durableId="502166508">
    <w:abstractNumId w:val="28"/>
  </w:num>
  <w:num w:numId="34" w16cid:durableId="2036074537">
    <w:abstractNumId w:val="14"/>
  </w:num>
  <w:num w:numId="35" w16cid:durableId="895161135">
    <w:abstractNumId w:val="9"/>
  </w:num>
  <w:num w:numId="36" w16cid:durableId="2032754447">
    <w:abstractNumId w:val="27"/>
  </w:num>
  <w:num w:numId="37" w16cid:durableId="1460029800">
    <w:abstractNumId w:val="30"/>
  </w:num>
  <w:num w:numId="38" w16cid:durableId="898713185">
    <w:abstractNumId w:val="22"/>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50"/>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5FAD"/>
    <w:rsid w:val="000015A4"/>
    <w:rsid w:val="00001C9B"/>
    <w:rsid w:val="000040DC"/>
    <w:rsid w:val="00004DD1"/>
    <w:rsid w:val="00006A7E"/>
    <w:rsid w:val="00006DD1"/>
    <w:rsid w:val="00007A26"/>
    <w:rsid w:val="00007CEE"/>
    <w:rsid w:val="00010CA1"/>
    <w:rsid w:val="0001138D"/>
    <w:rsid w:val="00011784"/>
    <w:rsid w:val="00011915"/>
    <w:rsid w:val="00012B5B"/>
    <w:rsid w:val="00013726"/>
    <w:rsid w:val="00013909"/>
    <w:rsid w:val="000151EF"/>
    <w:rsid w:val="00015A95"/>
    <w:rsid w:val="00015CFB"/>
    <w:rsid w:val="00020648"/>
    <w:rsid w:val="00021FBC"/>
    <w:rsid w:val="00022179"/>
    <w:rsid w:val="00022E28"/>
    <w:rsid w:val="000239F5"/>
    <w:rsid w:val="00025FF1"/>
    <w:rsid w:val="0002723D"/>
    <w:rsid w:val="000275E4"/>
    <w:rsid w:val="0002761D"/>
    <w:rsid w:val="00033234"/>
    <w:rsid w:val="000343A5"/>
    <w:rsid w:val="0003626E"/>
    <w:rsid w:val="00036462"/>
    <w:rsid w:val="000409F9"/>
    <w:rsid w:val="000410A5"/>
    <w:rsid w:val="00042823"/>
    <w:rsid w:val="00043BBB"/>
    <w:rsid w:val="00045470"/>
    <w:rsid w:val="00045FAD"/>
    <w:rsid w:val="000464B2"/>
    <w:rsid w:val="000475FE"/>
    <w:rsid w:val="0004773E"/>
    <w:rsid w:val="00051373"/>
    <w:rsid w:val="00051EA0"/>
    <w:rsid w:val="0005242A"/>
    <w:rsid w:val="00053321"/>
    <w:rsid w:val="00053A73"/>
    <w:rsid w:val="000578A6"/>
    <w:rsid w:val="00057FC5"/>
    <w:rsid w:val="00060EA8"/>
    <w:rsid w:val="000611FB"/>
    <w:rsid w:val="00062A2E"/>
    <w:rsid w:val="00062D7D"/>
    <w:rsid w:val="0006589C"/>
    <w:rsid w:val="00066752"/>
    <w:rsid w:val="00066800"/>
    <w:rsid w:val="00071DAC"/>
    <w:rsid w:val="00071E77"/>
    <w:rsid w:val="000727E2"/>
    <w:rsid w:val="00073978"/>
    <w:rsid w:val="00074E91"/>
    <w:rsid w:val="00077DFA"/>
    <w:rsid w:val="00081D00"/>
    <w:rsid w:val="00082552"/>
    <w:rsid w:val="00084662"/>
    <w:rsid w:val="0008612A"/>
    <w:rsid w:val="00086196"/>
    <w:rsid w:val="00086969"/>
    <w:rsid w:val="00087910"/>
    <w:rsid w:val="00090ADD"/>
    <w:rsid w:val="00090E18"/>
    <w:rsid w:val="00091408"/>
    <w:rsid w:val="00091765"/>
    <w:rsid w:val="0009185D"/>
    <w:rsid w:val="00092666"/>
    <w:rsid w:val="00094EF7"/>
    <w:rsid w:val="00096F2C"/>
    <w:rsid w:val="000A10BC"/>
    <w:rsid w:val="000A15CF"/>
    <w:rsid w:val="000A1D30"/>
    <w:rsid w:val="000A6635"/>
    <w:rsid w:val="000B0056"/>
    <w:rsid w:val="000B4A79"/>
    <w:rsid w:val="000B4D15"/>
    <w:rsid w:val="000B5220"/>
    <w:rsid w:val="000B61DC"/>
    <w:rsid w:val="000C0EB2"/>
    <w:rsid w:val="000C1FED"/>
    <w:rsid w:val="000C29F1"/>
    <w:rsid w:val="000C3C7B"/>
    <w:rsid w:val="000D06C3"/>
    <w:rsid w:val="000D0F93"/>
    <w:rsid w:val="000D189D"/>
    <w:rsid w:val="000D25B1"/>
    <w:rsid w:val="000D29B8"/>
    <w:rsid w:val="000D4007"/>
    <w:rsid w:val="000D60D8"/>
    <w:rsid w:val="000D6FBA"/>
    <w:rsid w:val="000E033E"/>
    <w:rsid w:val="000E1339"/>
    <w:rsid w:val="000E3172"/>
    <w:rsid w:val="000E3280"/>
    <w:rsid w:val="000E32A1"/>
    <w:rsid w:val="000E3EE0"/>
    <w:rsid w:val="000E62BA"/>
    <w:rsid w:val="000F0180"/>
    <w:rsid w:val="000F0AE5"/>
    <w:rsid w:val="000F126E"/>
    <w:rsid w:val="000F1A1A"/>
    <w:rsid w:val="000F1E67"/>
    <w:rsid w:val="000F229B"/>
    <w:rsid w:val="000F3D74"/>
    <w:rsid w:val="000F52E0"/>
    <w:rsid w:val="00102B44"/>
    <w:rsid w:val="001056E1"/>
    <w:rsid w:val="001059C5"/>
    <w:rsid w:val="00105BA0"/>
    <w:rsid w:val="0010633B"/>
    <w:rsid w:val="00106416"/>
    <w:rsid w:val="00110481"/>
    <w:rsid w:val="001127C9"/>
    <w:rsid w:val="00113992"/>
    <w:rsid w:val="00114761"/>
    <w:rsid w:val="00114D34"/>
    <w:rsid w:val="00115B88"/>
    <w:rsid w:val="00123A66"/>
    <w:rsid w:val="00123CC9"/>
    <w:rsid w:val="0012472D"/>
    <w:rsid w:val="00124F2F"/>
    <w:rsid w:val="00126C9A"/>
    <w:rsid w:val="00127213"/>
    <w:rsid w:val="0012780A"/>
    <w:rsid w:val="001304FE"/>
    <w:rsid w:val="001307D5"/>
    <w:rsid w:val="00131F8C"/>
    <w:rsid w:val="00132F6A"/>
    <w:rsid w:val="00132FD9"/>
    <w:rsid w:val="00133913"/>
    <w:rsid w:val="00136035"/>
    <w:rsid w:val="00140221"/>
    <w:rsid w:val="00140AD3"/>
    <w:rsid w:val="00142063"/>
    <w:rsid w:val="0014272A"/>
    <w:rsid w:val="0014388C"/>
    <w:rsid w:val="001447DF"/>
    <w:rsid w:val="0014552D"/>
    <w:rsid w:val="001471F6"/>
    <w:rsid w:val="00151534"/>
    <w:rsid w:val="0015212C"/>
    <w:rsid w:val="0015257C"/>
    <w:rsid w:val="00152CA4"/>
    <w:rsid w:val="00153B64"/>
    <w:rsid w:val="00153E7A"/>
    <w:rsid w:val="00154481"/>
    <w:rsid w:val="00154C99"/>
    <w:rsid w:val="0015609A"/>
    <w:rsid w:val="00160F53"/>
    <w:rsid w:val="00160FC3"/>
    <w:rsid w:val="00162D9D"/>
    <w:rsid w:val="001642D0"/>
    <w:rsid w:val="001642FC"/>
    <w:rsid w:val="0016496B"/>
    <w:rsid w:val="001654D7"/>
    <w:rsid w:val="00170E93"/>
    <w:rsid w:val="00171A11"/>
    <w:rsid w:val="001743E2"/>
    <w:rsid w:val="001745F8"/>
    <w:rsid w:val="001747FD"/>
    <w:rsid w:val="00176260"/>
    <w:rsid w:val="001771E6"/>
    <w:rsid w:val="001774C1"/>
    <w:rsid w:val="00177B12"/>
    <w:rsid w:val="00180984"/>
    <w:rsid w:val="00180D9C"/>
    <w:rsid w:val="00180DA2"/>
    <w:rsid w:val="001838CF"/>
    <w:rsid w:val="00185092"/>
    <w:rsid w:val="001868EE"/>
    <w:rsid w:val="00186D0C"/>
    <w:rsid w:val="00187C50"/>
    <w:rsid w:val="001913D7"/>
    <w:rsid w:val="00193813"/>
    <w:rsid w:val="001947C3"/>
    <w:rsid w:val="0019744C"/>
    <w:rsid w:val="001976E7"/>
    <w:rsid w:val="001A2A21"/>
    <w:rsid w:val="001A3AAE"/>
    <w:rsid w:val="001A3BA4"/>
    <w:rsid w:val="001A53B4"/>
    <w:rsid w:val="001A547B"/>
    <w:rsid w:val="001A5486"/>
    <w:rsid w:val="001A6D1F"/>
    <w:rsid w:val="001B031F"/>
    <w:rsid w:val="001B0A33"/>
    <w:rsid w:val="001B1201"/>
    <w:rsid w:val="001B4994"/>
    <w:rsid w:val="001B6110"/>
    <w:rsid w:val="001B63E4"/>
    <w:rsid w:val="001B75FE"/>
    <w:rsid w:val="001B7C78"/>
    <w:rsid w:val="001C4921"/>
    <w:rsid w:val="001C6A3B"/>
    <w:rsid w:val="001C6AA5"/>
    <w:rsid w:val="001D19F1"/>
    <w:rsid w:val="001D1D6D"/>
    <w:rsid w:val="001D3627"/>
    <w:rsid w:val="001D3BB1"/>
    <w:rsid w:val="001D40CC"/>
    <w:rsid w:val="001D68F2"/>
    <w:rsid w:val="001D6DAB"/>
    <w:rsid w:val="001E02D4"/>
    <w:rsid w:val="001E1916"/>
    <w:rsid w:val="001E2214"/>
    <w:rsid w:val="001E30F6"/>
    <w:rsid w:val="001E42D1"/>
    <w:rsid w:val="001E7484"/>
    <w:rsid w:val="001E7489"/>
    <w:rsid w:val="001E789E"/>
    <w:rsid w:val="001F012B"/>
    <w:rsid w:val="001F1D3F"/>
    <w:rsid w:val="001F3CF0"/>
    <w:rsid w:val="001F3F1D"/>
    <w:rsid w:val="001F6224"/>
    <w:rsid w:val="001F7327"/>
    <w:rsid w:val="002014FB"/>
    <w:rsid w:val="002031F7"/>
    <w:rsid w:val="0020338A"/>
    <w:rsid w:val="00206010"/>
    <w:rsid w:val="00206B13"/>
    <w:rsid w:val="00207DC1"/>
    <w:rsid w:val="0021027C"/>
    <w:rsid w:val="0021033C"/>
    <w:rsid w:val="002109BD"/>
    <w:rsid w:val="00211F08"/>
    <w:rsid w:val="00211FA9"/>
    <w:rsid w:val="00214B19"/>
    <w:rsid w:val="00214F50"/>
    <w:rsid w:val="002166DD"/>
    <w:rsid w:val="00216CB3"/>
    <w:rsid w:val="00216FD7"/>
    <w:rsid w:val="00217EE5"/>
    <w:rsid w:val="00217F24"/>
    <w:rsid w:val="00220023"/>
    <w:rsid w:val="002210A1"/>
    <w:rsid w:val="00222932"/>
    <w:rsid w:val="00222C9B"/>
    <w:rsid w:val="00226E87"/>
    <w:rsid w:val="00227604"/>
    <w:rsid w:val="002318CA"/>
    <w:rsid w:val="00232239"/>
    <w:rsid w:val="00233A98"/>
    <w:rsid w:val="00235858"/>
    <w:rsid w:val="00235F5C"/>
    <w:rsid w:val="00237E9D"/>
    <w:rsid w:val="0024100A"/>
    <w:rsid w:val="0024386E"/>
    <w:rsid w:val="00254CF4"/>
    <w:rsid w:val="002557F2"/>
    <w:rsid w:val="002561E9"/>
    <w:rsid w:val="002562C1"/>
    <w:rsid w:val="00257A70"/>
    <w:rsid w:val="00257FA3"/>
    <w:rsid w:val="002654BA"/>
    <w:rsid w:val="0026770A"/>
    <w:rsid w:val="00270752"/>
    <w:rsid w:val="002717E6"/>
    <w:rsid w:val="002722E8"/>
    <w:rsid w:val="00277404"/>
    <w:rsid w:val="00277B56"/>
    <w:rsid w:val="00277CAF"/>
    <w:rsid w:val="002817DB"/>
    <w:rsid w:val="00282071"/>
    <w:rsid w:val="00282B13"/>
    <w:rsid w:val="00284712"/>
    <w:rsid w:val="00285AF8"/>
    <w:rsid w:val="00286166"/>
    <w:rsid w:val="00287F3E"/>
    <w:rsid w:val="0029015F"/>
    <w:rsid w:val="0029156C"/>
    <w:rsid w:val="002924EC"/>
    <w:rsid w:val="002939E2"/>
    <w:rsid w:val="002947F4"/>
    <w:rsid w:val="00295523"/>
    <w:rsid w:val="002970A9"/>
    <w:rsid w:val="00297DF5"/>
    <w:rsid w:val="002A19C9"/>
    <w:rsid w:val="002A19F5"/>
    <w:rsid w:val="002A725F"/>
    <w:rsid w:val="002B1450"/>
    <w:rsid w:val="002B205F"/>
    <w:rsid w:val="002B382C"/>
    <w:rsid w:val="002B3B32"/>
    <w:rsid w:val="002B4922"/>
    <w:rsid w:val="002B60C8"/>
    <w:rsid w:val="002B76AD"/>
    <w:rsid w:val="002C217B"/>
    <w:rsid w:val="002C22C3"/>
    <w:rsid w:val="002C2D19"/>
    <w:rsid w:val="002C352E"/>
    <w:rsid w:val="002C6194"/>
    <w:rsid w:val="002C683E"/>
    <w:rsid w:val="002D0353"/>
    <w:rsid w:val="002D10FA"/>
    <w:rsid w:val="002D137C"/>
    <w:rsid w:val="002D1BA5"/>
    <w:rsid w:val="002D1F4D"/>
    <w:rsid w:val="002D3325"/>
    <w:rsid w:val="002D4840"/>
    <w:rsid w:val="002D4C55"/>
    <w:rsid w:val="002D6176"/>
    <w:rsid w:val="002D61FC"/>
    <w:rsid w:val="002D7790"/>
    <w:rsid w:val="002D7E11"/>
    <w:rsid w:val="002D7EF6"/>
    <w:rsid w:val="002E0076"/>
    <w:rsid w:val="002E1156"/>
    <w:rsid w:val="002E22E5"/>
    <w:rsid w:val="002E313B"/>
    <w:rsid w:val="002E42CA"/>
    <w:rsid w:val="002E4894"/>
    <w:rsid w:val="002E4E92"/>
    <w:rsid w:val="002E67D6"/>
    <w:rsid w:val="002E6DED"/>
    <w:rsid w:val="002F1EDB"/>
    <w:rsid w:val="002F3279"/>
    <w:rsid w:val="002F40A8"/>
    <w:rsid w:val="002F5882"/>
    <w:rsid w:val="002F6DC0"/>
    <w:rsid w:val="00300956"/>
    <w:rsid w:val="00303A78"/>
    <w:rsid w:val="003047F2"/>
    <w:rsid w:val="00304D88"/>
    <w:rsid w:val="00305D8E"/>
    <w:rsid w:val="003077C2"/>
    <w:rsid w:val="003103C5"/>
    <w:rsid w:val="00310E60"/>
    <w:rsid w:val="003110B6"/>
    <w:rsid w:val="00312F99"/>
    <w:rsid w:val="00313576"/>
    <w:rsid w:val="00314028"/>
    <w:rsid w:val="00314137"/>
    <w:rsid w:val="00317187"/>
    <w:rsid w:val="003173D4"/>
    <w:rsid w:val="00317815"/>
    <w:rsid w:val="003210DB"/>
    <w:rsid w:val="00322720"/>
    <w:rsid w:val="0032499A"/>
    <w:rsid w:val="0032767D"/>
    <w:rsid w:val="003276E2"/>
    <w:rsid w:val="00327963"/>
    <w:rsid w:val="003311C9"/>
    <w:rsid w:val="00331745"/>
    <w:rsid w:val="0033187E"/>
    <w:rsid w:val="00332422"/>
    <w:rsid w:val="003341F7"/>
    <w:rsid w:val="0033485F"/>
    <w:rsid w:val="003351DA"/>
    <w:rsid w:val="0033706F"/>
    <w:rsid w:val="00343A1D"/>
    <w:rsid w:val="00346364"/>
    <w:rsid w:val="003465E8"/>
    <w:rsid w:val="00347377"/>
    <w:rsid w:val="00347CD7"/>
    <w:rsid w:val="00347FEC"/>
    <w:rsid w:val="003523E1"/>
    <w:rsid w:val="0035462B"/>
    <w:rsid w:val="00355118"/>
    <w:rsid w:val="00355FC8"/>
    <w:rsid w:val="00356A7F"/>
    <w:rsid w:val="00356F45"/>
    <w:rsid w:val="00360628"/>
    <w:rsid w:val="003620D7"/>
    <w:rsid w:val="003625A3"/>
    <w:rsid w:val="00363FB8"/>
    <w:rsid w:val="00364584"/>
    <w:rsid w:val="00365153"/>
    <w:rsid w:val="00365DAE"/>
    <w:rsid w:val="00366B74"/>
    <w:rsid w:val="00372858"/>
    <w:rsid w:val="00372BB9"/>
    <w:rsid w:val="00373330"/>
    <w:rsid w:val="003748A2"/>
    <w:rsid w:val="003748F7"/>
    <w:rsid w:val="00374E7E"/>
    <w:rsid w:val="00375240"/>
    <w:rsid w:val="003760E9"/>
    <w:rsid w:val="00376C72"/>
    <w:rsid w:val="00376FF9"/>
    <w:rsid w:val="00377001"/>
    <w:rsid w:val="003801E4"/>
    <w:rsid w:val="0038060E"/>
    <w:rsid w:val="0038125D"/>
    <w:rsid w:val="003829EB"/>
    <w:rsid w:val="0038449A"/>
    <w:rsid w:val="00386CC8"/>
    <w:rsid w:val="0039024A"/>
    <w:rsid w:val="003905C2"/>
    <w:rsid w:val="00394414"/>
    <w:rsid w:val="00394EA7"/>
    <w:rsid w:val="003966B1"/>
    <w:rsid w:val="00397AB2"/>
    <w:rsid w:val="00397F67"/>
    <w:rsid w:val="003A318A"/>
    <w:rsid w:val="003A527B"/>
    <w:rsid w:val="003A5FA8"/>
    <w:rsid w:val="003A710A"/>
    <w:rsid w:val="003A7306"/>
    <w:rsid w:val="003B273B"/>
    <w:rsid w:val="003B27E5"/>
    <w:rsid w:val="003B29C5"/>
    <w:rsid w:val="003B3043"/>
    <w:rsid w:val="003B6053"/>
    <w:rsid w:val="003B6118"/>
    <w:rsid w:val="003B659E"/>
    <w:rsid w:val="003B7CC2"/>
    <w:rsid w:val="003C09E0"/>
    <w:rsid w:val="003C15DB"/>
    <w:rsid w:val="003C1A0F"/>
    <w:rsid w:val="003C1B06"/>
    <w:rsid w:val="003C275E"/>
    <w:rsid w:val="003C2CBE"/>
    <w:rsid w:val="003C32FA"/>
    <w:rsid w:val="003C41C7"/>
    <w:rsid w:val="003C4FDE"/>
    <w:rsid w:val="003C55D6"/>
    <w:rsid w:val="003C659B"/>
    <w:rsid w:val="003C67E8"/>
    <w:rsid w:val="003C7986"/>
    <w:rsid w:val="003D1828"/>
    <w:rsid w:val="003D1937"/>
    <w:rsid w:val="003D1D59"/>
    <w:rsid w:val="003D26F4"/>
    <w:rsid w:val="003D3275"/>
    <w:rsid w:val="003D3E2F"/>
    <w:rsid w:val="003D3FDB"/>
    <w:rsid w:val="003D6F9C"/>
    <w:rsid w:val="003D7FE2"/>
    <w:rsid w:val="003E055A"/>
    <w:rsid w:val="003E0FEB"/>
    <w:rsid w:val="003E1B82"/>
    <w:rsid w:val="003E4111"/>
    <w:rsid w:val="003E58DF"/>
    <w:rsid w:val="003E5D9A"/>
    <w:rsid w:val="003E6F37"/>
    <w:rsid w:val="003E7396"/>
    <w:rsid w:val="003E73FF"/>
    <w:rsid w:val="003F0FE0"/>
    <w:rsid w:val="003F6B15"/>
    <w:rsid w:val="003F7E68"/>
    <w:rsid w:val="00404C4C"/>
    <w:rsid w:val="00407EBE"/>
    <w:rsid w:val="0041164F"/>
    <w:rsid w:val="0041423F"/>
    <w:rsid w:val="00414F81"/>
    <w:rsid w:val="004161D1"/>
    <w:rsid w:val="00416EBE"/>
    <w:rsid w:val="004179E0"/>
    <w:rsid w:val="0042117A"/>
    <w:rsid w:val="00422338"/>
    <w:rsid w:val="004231C4"/>
    <w:rsid w:val="0042421A"/>
    <w:rsid w:val="004244EC"/>
    <w:rsid w:val="0042470E"/>
    <w:rsid w:val="004301B3"/>
    <w:rsid w:val="004302F4"/>
    <w:rsid w:val="004327CE"/>
    <w:rsid w:val="00436824"/>
    <w:rsid w:val="00436A0F"/>
    <w:rsid w:val="00436BC8"/>
    <w:rsid w:val="00437150"/>
    <w:rsid w:val="0043750A"/>
    <w:rsid w:val="0044115A"/>
    <w:rsid w:val="0044191A"/>
    <w:rsid w:val="00442C8C"/>
    <w:rsid w:val="00445E5C"/>
    <w:rsid w:val="0044686C"/>
    <w:rsid w:val="00446892"/>
    <w:rsid w:val="004477E5"/>
    <w:rsid w:val="004514A5"/>
    <w:rsid w:val="00451C28"/>
    <w:rsid w:val="00452C3E"/>
    <w:rsid w:val="004534B6"/>
    <w:rsid w:val="00453BD2"/>
    <w:rsid w:val="004552E5"/>
    <w:rsid w:val="004555F2"/>
    <w:rsid w:val="00457F57"/>
    <w:rsid w:val="00460717"/>
    <w:rsid w:val="004607CF"/>
    <w:rsid w:val="00460883"/>
    <w:rsid w:val="00460B53"/>
    <w:rsid w:val="00460ECF"/>
    <w:rsid w:val="00465E07"/>
    <w:rsid w:val="00467AD4"/>
    <w:rsid w:val="00471672"/>
    <w:rsid w:val="004726CC"/>
    <w:rsid w:val="004732E9"/>
    <w:rsid w:val="004744A0"/>
    <w:rsid w:val="00475559"/>
    <w:rsid w:val="00475F30"/>
    <w:rsid w:val="0047659B"/>
    <w:rsid w:val="00476B7A"/>
    <w:rsid w:val="0048047F"/>
    <w:rsid w:val="00482720"/>
    <w:rsid w:val="00484757"/>
    <w:rsid w:val="004854BB"/>
    <w:rsid w:val="00487A7D"/>
    <w:rsid w:val="00487E8E"/>
    <w:rsid w:val="00490CDF"/>
    <w:rsid w:val="00491AD5"/>
    <w:rsid w:val="004925AB"/>
    <w:rsid w:val="00494493"/>
    <w:rsid w:val="00494DCC"/>
    <w:rsid w:val="00496606"/>
    <w:rsid w:val="004A0585"/>
    <w:rsid w:val="004A0673"/>
    <w:rsid w:val="004A0A44"/>
    <w:rsid w:val="004A175D"/>
    <w:rsid w:val="004A22A1"/>
    <w:rsid w:val="004B08E2"/>
    <w:rsid w:val="004B1349"/>
    <w:rsid w:val="004B1FF7"/>
    <w:rsid w:val="004B30BB"/>
    <w:rsid w:val="004B420D"/>
    <w:rsid w:val="004B54AB"/>
    <w:rsid w:val="004B5A22"/>
    <w:rsid w:val="004B6703"/>
    <w:rsid w:val="004C0C87"/>
    <w:rsid w:val="004C146A"/>
    <w:rsid w:val="004C5943"/>
    <w:rsid w:val="004D0455"/>
    <w:rsid w:val="004D0803"/>
    <w:rsid w:val="004D26D1"/>
    <w:rsid w:val="004D270E"/>
    <w:rsid w:val="004D27AE"/>
    <w:rsid w:val="004D4414"/>
    <w:rsid w:val="004D4723"/>
    <w:rsid w:val="004D4A24"/>
    <w:rsid w:val="004E012D"/>
    <w:rsid w:val="004E5E66"/>
    <w:rsid w:val="004E63DE"/>
    <w:rsid w:val="004E7387"/>
    <w:rsid w:val="004E7ADB"/>
    <w:rsid w:val="004E7AFB"/>
    <w:rsid w:val="004F0378"/>
    <w:rsid w:val="004F39DF"/>
    <w:rsid w:val="004F3C2F"/>
    <w:rsid w:val="004F6546"/>
    <w:rsid w:val="0050188A"/>
    <w:rsid w:val="00503B4D"/>
    <w:rsid w:val="00504617"/>
    <w:rsid w:val="00504EE9"/>
    <w:rsid w:val="005076EF"/>
    <w:rsid w:val="005113A9"/>
    <w:rsid w:val="00513B14"/>
    <w:rsid w:val="0051459D"/>
    <w:rsid w:val="00514A85"/>
    <w:rsid w:val="005154AF"/>
    <w:rsid w:val="005156FB"/>
    <w:rsid w:val="00516671"/>
    <w:rsid w:val="00516EAF"/>
    <w:rsid w:val="00517CA7"/>
    <w:rsid w:val="0052015B"/>
    <w:rsid w:val="00520BB4"/>
    <w:rsid w:val="00521576"/>
    <w:rsid w:val="00521D17"/>
    <w:rsid w:val="005250E6"/>
    <w:rsid w:val="005275A1"/>
    <w:rsid w:val="00530021"/>
    <w:rsid w:val="0053079B"/>
    <w:rsid w:val="00530AB2"/>
    <w:rsid w:val="00530E20"/>
    <w:rsid w:val="00531779"/>
    <w:rsid w:val="005335C2"/>
    <w:rsid w:val="005342E1"/>
    <w:rsid w:val="005367CE"/>
    <w:rsid w:val="005378EB"/>
    <w:rsid w:val="00540E94"/>
    <w:rsid w:val="0054262D"/>
    <w:rsid w:val="00542D23"/>
    <w:rsid w:val="005432F4"/>
    <w:rsid w:val="0054442C"/>
    <w:rsid w:val="00544E25"/>
    <w:rsid w:val="00550285"/>
    <w:rsid w:val="00550A44"/>
    <w:rsid w:val="00551567"/>
    <w:rsid w:val="00551D5E"/>
    <w:rsid w:val="0055271E"/>
    <w:rsid w:val="00553709"/>
    <w:rsid w:val="0055380C"/>
    <w:rsid w:val="005567E1"/>
    <w:rsid w:val="005576F9"/>
    <w:rsid w:val="00562492"/>
    <w:rsid w:val="00563538"/>
    <w:rsid w:val="005672B7"/>
    <w:rsid w:val="00567AA3"/>
    <w:rsid w:val="00572A20"/>
    <w:rsid w:val="00576E96"/>
    <w:rsid w:val="00582560"/>
    <w:rsid w:val="00582FC4"/>
    <w:rsid w:val="00583102"/>
    <w:rsid w:val="005836F8"/>
    <w:rsid w:val="00584935"/>
    <w:rsid w:val="00586339"/>
    <w:rsid w:val="005865F7"/>
    <w:rsid w:val="005918FA"/>
    <w:rsid w:val="00592A86"/>
    <w:rsid w:val="005936DE"/>
    <w:rsid w:val="00595FD6"/>
    <w:rsid w:val="00597D53"/>
    <w:rsid w:val="005A0DAD"/>
    <w:rsid w:val="005B062D"/>
    <w:rsid w:val="005B1766"/>
    <w:rsid w:val="005B2389"/>
    <w:rsid w:val="005B31F2"/>
    <w:rsid w:val="005B3DFC"/>
    <w:rsid w:val="005B4801"/>
    <w:rsid w:val="005B55CE"/>
    <w:rsid w:val="005B6B7E"/>
    <w:rsid w:val="005C13B4"/>
    <w:rsid w:val="005C23A4"/>
    <w:rsid w:val="005C3A3F"/>
    <w:rsid w:val="005C58E7"/>
    <w:rsid w:val="005C5D3D"/>
    <w:rsid w:val="005D0CE2"/>
    <w:rsid w:val="005D1624"/>
    <w:rsid w:val="005D1CDF"/>
    <w:rsid w:val="005D25BA"/>
    <w:rsid w:val="005D2BB7"/>
    <w:rsid w:val="005D4BE9"/>
    <w:rsid w:val="005D5365"/>
    <w:rsid w:val="005D6BBC"/>
    <w:rsid w:val="005E1D95"/>
    <w:rsid w:val="005E2F4E"/>
    <w:rsid w:val="005E313A"/>
    <w:rsid w:val="005E61A8"/>
    <w:rsid w:val="005F2A71"/>
    <w:rsid w:val="005F31F5"/>
    <w:rsid w:val="005F44B1"/>
    <w:rsid w:val="005F605E"/>
    <w:rsid w:val="005F6419"/>
    <w:rsid w:val="005F7C74"/>
    <w:rsid w:val="0060364C"/>
    <w:rsid w:val="0060543D"/>
    <w:rsid w:val="0060596E"/>
    <w:rsid w:val="00606466"/>
    <w:rsid w:val="00606520"/>
    <w:rsid w:val="006104DD"/>
    <w:rsid w:val="0061099E"/>
    <w:rsid w:val="00611614"/>
    <w:rsid w:val="006130B5"/>
    <w:rsid w:val="006137C8"/>
    <w:rsid w:val="006163C7"/>
    <w:rsid w:val="006164A8"/>
    <w:rsid w:val="00616F8F"/>
    <w:rsid w:val="00617400"/>
    <w:rsid w:val="006237F2"/>
    <w:rsid w:val="00625694"/>
    <w:rsid w:val="00626DA8"/>
    <w:rsid w:val="006307E9"/>
    <w:rsid w:val="00631639"/>
    <w:rsid w:val="0063173A"/>
    <w:rsid w:val="00631750"/>
    <w:rsid w:val="006319FB"/>
    <w:rsid w:val="00631F5D"/>
    <w:rsid w:val="00632D29"/>
    <w:rsid w:val="00633CBA"/>
    <w:rsid w:val="00633F27"/>
    <w:rsid w:val="00634F00"/>
    <w:rsid w:val="0063550A"/>
    <w:rsid w:val="00642492"/>
    <w:rsid w:val="00646CF1"/>
    <w:rsid w:val="0064790D"/>
    <w:rsid w:val="006506F6"/>
    <w:rsid w:val="00651AE9"/>
    <w:rsid w:val="00654EB2"/>
    <w:rsid w:val="0065644D"/>
    <w:rsid w:val="00657EF8"/>
    <w:rsid w:val="00660CC8"/>
    <w:rsid w:val="006624F4"/>
    <w:rsid w:val="006630CF"/>
    <w:rsid w:val="006643B2"/>
    <w:rsid w:val="00664950"/>
    <w:rsid w:val="006662EC"/>
    <w:rsid w:val="00667629"/>
    <w:rsid w:val="00667B4B"/>
    <w:rsid w:val="00672320"/>
    <w:rsid w:val="006765E9"/>
    <w:rsid w:val="00676756"/>
    <w:rsid w:val="00676791"/>
    <w:rsid w:val="00676A84"/>
    <w:rsid w:val="00681079"/>
    <w:rsid w:val="00683220"/>
    <w:rsid w:val="006849DD"/>
    <w:rsid w:val="00684AA8"/>
    <w:rsid w:val="00684D9B"/>
    <w:rsid w:val="0068638B"/>
    <w:rsid w:val="00686A4E"/>
    <w:rsid w:val="00687FA0"/>
    <w:rsid w:val="0069045A"/>
    <w:rsid w:val="00690FD2"/>
    <w:rsid w:val="00691CFF"/>
    <w:rsid w:val="0069398C"/>
    <w:rsid w:val="00697136"/>
    <w:rsid w:val="00697C3C"/>
    <w:rsid w:val="006A0051"/>
    <w:rsid w:val="006A12FE"/>
    <w:rsid w:val="006A151F"/>
    <w:rsid w:val="006A3C11"/>
    <w:rsid w:val="006A4D41"/>
    <w:rsid w:val="006A5402"/>
    <w:rsid w:val="006B052E"/>
    <w:rsid w:val="006B08EE"/>
    <w:rsid w:val="006B223C"/>
    <w:rsid w:val="006B318B"/>
    <w:rsid w:val="006B3CFE"/>
    <w:rsid w:val="006B467A"/>
    <w:rsid w:val="006B6C62"/>
    <w:rsid w:val="006B6D60"/>
    <w:rsid w:val="006B7010"/>
    <w:rsid w:val="006B7D41"/>
    <w:rsid w:val="006B7E9D"/>
    <w:rsid w:val="006C0ABE"/>
    <w:rsid w:val="006C1536"/>
    <w:rsid w:val="006C1DD5"/>
    <w:rsid w:val="006C1F15"/>
    <w:rsid w:val="006C3095"/>
    <w:rsid w:val="006C41BD"/>
    <w:rsid w:val="006C4531"/>
    <w:rsid w:val="006C7603"/>
    <w:rsid w:val="006C7D21"/>
    <w:rsid w:val="006D0029"/>
    <w:rsid w:val="006D0799"/>
    <w:rsid w:val="006D1578"/>
    <w:rsid w:val="006D2283"/>
    <w:rsid w:val="006D3974"/>
    <w:rsid w:val="006D4968"/>
    <w:rsid w:val="006D4DE6"/>
    <w:rsid w:val="006D5FB2"/>
    <w:rsid w:val="006D6E0B"/>
    <w:rsid w:val="006E1151"/>
    <w:rsid w:val="006E2FBD"/>
    <w:rsid w:val="006E514C"/>
    <w:rsid w:val="006E56F1"/>
    <w:rsid w:val="006E6311"/>
    <w:rsid w:val="006E6352"/>
    <w:rsid w:val="006E6BC3"/>
    <w:rsid w:val="006E71CF"/>
    <w:rsid w:val="006E79D6"/>
    <w:rsid w:val="006E7C12"/>
    <w:rsid w:val="006E7E44"/>
    <w:rsid w:val="006F0420"/>
    <w:rsid w:val="006F0E6B"/>
    <w:rsid w:val="006F3720"/>
    <w:rsid w:val="006F3AA7"/>
    <w:rsid w:val="006F46E8"/>
    <w:rsid w:val="006F72B2"/>
    <w:rsid w:val="00701DD7"/>
    <w:rsid w:val="0070261F"/>
    <w:rsid w:val="00704BAE"/>
    <w:rsid w:val="007070C1"/>
    <w:rsid w:val="00707D26"/>
    <w:rsid w:val="00710640"/>
    <w:rsid w:val="0071187D"/>
    <w:rsid w:val="007128F2"/>
    <w:rsid w:val="0071413F"/>
    <w:rsid w:val="007145FF"/>
    <w:rsid w:val="00714A14"/>
    <w:rsid w:val="007155B8"/>
    <w:rsid w:val="0071581D"/>
    <w:rsid w:val="00715B2A"/>
    <w:rsid w:val="00722169"/>
    <w:rsid w:val="00722D03"/>
    <w:rsid w:val="00722EDD"/>
    <w:rsid w:val="00724987"/>
    <w:rsid w:val="0072684C"/>
    <w:rsid w:val="007273FD"/>
    <w:rsid w:val="00734593"/>
    <w:rsid w:val="00740C4B"/>
    <w:rsid w:val="0074493E"/>
    <w:rsid w:val="00744FE9"/>
    <w:rsid w:val="007450F1"/>
    <w:rsid w:val="00746431"/>
    <w:rsid w:val="007477E5"/>
    <w:rsid w:val="00747E94"/>
    <w:rsid w:val="00750B68"/>
    <w:rsid w:val="00751515"/>
    <w:rsid w:val="00753020"/>
    <w:rsid w:val="007534ED"/>
    <w:rsid w:val="0075351A"/>
    <w:rsid w:val="00753D32"/>
    <w:rsid w:val="00754A6A"/>
    <w:rsid w:val="00754F7C"/>
    <w:rsid w:val="007568F2"/>
    <w:rsid w:val="007600CD"/>
    <w:rsid w:val="007610B5"/>
    <w:rsid w:val="007611F2"/>
    <w:rsid w:val="007626B7"/>
    <w:rsid w:val="0076306D"/>
    <w:rsid w:val="00766AFC"/>
    <w:rsid w:val="007674DA"/>
    <w:rsid w:val="00767642"/>
    <w:rsid w:val="00770F74"/>
    <w:rsid w:val="00771706"/>
    <w:rsid w:val="00772BAA"/>
    <w:rsid w:val="00772CD9"/>
    <w:rsid w:val="00774280"/>
    <w:rsid w:val="007744F0"/>
    <w:rsid w:val="00774DBE"/>
    <w:rsid w:val="007751BB"/>
    <w:rsid w:val="007755BA"/>
    <w:rsid w:val="007805EC"/>
    <w:rsid w:val="00781EA6"/>
    <w:rsid w:val="0078212B"/>
    <w:rsid w:val="00784497"/>
    <w:rsid w:val="00784DF6"/>
    <w:rsid w:val="00785232"/>
    <w:rsid w:val="00786826"/>
    <w:rsid w:val="00791509"/>
    <w:rsid w:val="007921D4"/>
    <w:rsid w:val="00793D89"/>
    <w:rsid w:val="00793EB6"/>
    <w:rsid w:val="007943A1"/>
    <w:rsid w:val="00794C0C"/>
    <w:rsid w:val="007961F7"/>
    <w:rsid w:val="0079747C"/>
    <w:rsid w:val="007A0942"/>
    <w:rsid w:val="007A0AEA"/>
    <w:rsid w:val="007A1BFD"/>
    <w:rsid w:val="007A328E"/>
    <w:rsid w:val="007A565F"/>
    <w:rsid w:val="007A5E7F"/>
    <w:rsid w:val="007A7444"/>
    <w:rsid w:val="007B186C"/>
    <w:rsid w:val="007B6223"/>
    <w:rsid w:val="007B7B91"/>
    <w:rsid w:val="007C1696"/>
    <w:rsid w:val="007C221D"/>
    <w:rsid w:val="007C288F"/>
    <w:rsid w:val="007C3872"/>
    <w:rsid w:val="007C38B2"/>
    <w:rsid w:val="007C3ED0"/>
    <w:rsid w:val="007C5971"/>
    <w:rsid w:val="007C5B80"/>
    <w:rsid w:val="007C5DF7"/>
    <w:rsid w:val="007D0881"/>
    <w:rsid w:val="007D0A1D"/>
    <w:rsid w:val="007D1E72"/>
    <w:rsid w:val="007D22E7"/>
    <w:rsid w:val="007D280E"/>
    <w:rsid w:val="007D2B56"/>
    <w:rsid w:val="007D4FC4"/>
    <w:rsid w:val="007D5AB7"/>
    <w:rsid w:val="007E154C"/>
    <w:rsid w:val="007E1EA8"/>
    <w:rsid w:val="007E2755"/>
    <w:rsid w:val="007E2E2F"/>
    <w:rsid w:val="007E5117"/>
    <w:rsid w:val="007F1770"/>
    <w:rsid w:val="007F19F6"/>
    <w:rsid w:val="007F26E6"/>
    <w:rsid w:val="007F54B9"/>
    <w:rsid w:val="007F6591"/>
    <w:rsid w:val="007F6859"/>
    <w:rsid w:val="007F739D"/>
    <w:rsid w:val="00800E38"/>
    <w:rsid w:val="0080110A"/>
    <w:rsid w:val="00803141"/>
    <w:rsid w:val="008052E2"/>
    <w:rsid w:val="008056CC"/>
    <w:rsid w:val="00806A76"/>
    <w:rsid w:val="008078AB"/>
    <w:rsid w:val="00807CF8"/>
    <w:rsid w:val="00807E85"/>
    <w:rsid w:val="00811C9D"/>
    <w:rsid w:val="0081304A"/>
    <w:rsid w:val="00813557"/>
    <w:rsid w:val="0081355A"/>
    <w:rsid w:val="00816C80"/>
    <w:rsid w:val="0081777E"/>
    <w:rsid w:val="00820427"/>
    <w:rsid w:val="008210B2"/>
    <w:rsid w:val="008216D9"/>
    <w:rsid w:val="008223F2"/>
    <w:rsid w:val="00822F93"/>
    <w:rsid w:val="0082350A"/>
    <w:rsid w:val="00823589"/>
    <w:rsid w:val="00823C18"/>
    <w:rsid w:val="0082634A"/>
    <w:rsid w:val="008263EE"/>
    <w:rsid w:val="00827609"/>
    <w:rsid w:val="00831B01"/>
    <w:rsid w:val="0083281A"/>
    <w:rsid w:val="0083482B"/>
    <w:rsid w:val="0083577F"/>
    <w:rsid w:val="00841241"/>
    <w:rsid w:val="0084163B"/>
    <w:rsid w:val="00841BCD"/>
    <w:rsid w:val="00841E15"/>
    <w:rsid w:val="00843022"/>
    <w:rsid w:val="008440CB"/>
    <w:rsid w:val="0084418B"/>
    <w:rsid w:val="008450DD"/>
    <w:rsid w:val="00846105"/>
    <w:rsid w:val="0084791A"/>
    <w:rsid w:val="00851309"/>
    <w:rsid w:val="00851A8E"/>
    <w:rsid w:val="0085206F"/>
    <w:rsid w:val="00852307"/>
    <w:rsid w:val="00853052"/>
    <w:rsid w:val="0085365B"/>
    <w:rsid w:val="008540D5"/>
    <w:rsid w:val="00855F7A"/>
    <w:rsid w:val="00857D42"/>
    <w:rsid w:val="00861D88"/>
    <w:rsid w:val="008629C0"/>
    <w:rsid w:val="00862BE0"/>
    <w:rsid w:val="00862DD7"/>
    <w:rsid w:val="00863F03"/>
    <w:rsid w:val="00865507"/>
    <w:rsid w:val="0086649C"/>
    <w:rsid w:val="00870141"/>
    <w:rsid w:val="0087044B"/>
    <w:rsid w:val="00870ED0"/>
    <w:rsid w:val="00870FA5"/>
    <w:rsid w:val="008712B2"/>
    <w:rsid w:val="00871640"/>
    <w:rsid w:val="00872E1A"/>
    <w:rsid w:val="00873502"/>
    <w:rsid w:val="0087633F"/>
    <w:rsid w:val="008764B5"/>
    <w:rsid w:val="00876A2C"/>
    <w:rsid w:val="00876E58"/>
    <w:rsid w:val="00877E6C"/>
    <w:rsid w:val="00880973"/>
    <w:rsid w:val="00882244"/>
    <w:rsid w:val="008826C1"/>
    <w:rsid w:val="00883CAC"/>
    <w:rsid w:val="00883CAE"/>
    <w:rsid w:val="00883DFD"/>
    <w:rsid w:val="0088488E"/>
    <w:rsid w:val="00892DE0"/>
    <w:rsid w:val="008940CC"/>
    <w:rsid w:val="00895105"/>
    <w:rsid w:val="008955ED"/>
    <w:rsid w:val="008A1BF7"/>
    <w:rsid w:val="008A2FCE"/>
    <w:rsid w:val="008A5942"/>
    <w:rsid w:val="008A5B0E"/>
    <w:rsid w:val="008A63F3"/>
    <w:rsid w:val="008A69DB"/>
    <w:rsid w:val="008A7CFF"/>
    <w:rsid w:val="008B0961"/>
    <w:rsid w:val="008B1D88"/>
    <w:rsid w:val="008B391C"/>
    <w:rsid w:val="008B5770"/>
    <w:rsid w:val="008B5D82"/>
    <w:rsid w:val="008B64B7"/>
    <w:rsid w:val="008B6E2B"/>
    <w:rsid w:val="008C2268"/>
    <w:rsid w:val="008C39F7"/>
    <w:rsid w:val="008C6D7F"/>
    <w:rsid w:val="008D0438"/>
    <w:rsid w:val="008D0B77"/>
    <w:rsid w:val="008D1DF5"/>
    <w:rsid w:val="008D2B4C"/>
    <w:rsid w:val="008D5607"/>
    <w:rsid w:val="008D7F1E"/>
    <w:rsid w:val="008E03F3"/>
    <w:rsid w:val="008E1669"/>
    <w:rsid w:val="008E28CC"/>
    <w:rsid w:val="008E3368"/>
    <w:rsid w:val="008E37D5"/>
    <w:rsid w:val="008E3D0A"/>
    <w:rsid w:val="008E4B2D"/>
    <w:rsid w:val="008E56E3"/>
    <w:rsid w:val="008E5DFA"/>
    <w:rsid w:val="008E6953"/>
    <w:rsid w:val="008E6CE7"/>
    <w:rsid w:val="008F4588"/>
    <w:rsid w:val="008F5AA1"/>
    <w:rsid w:val="008F602F"/>
    <w:rsid w:val="008F63DC"/>
    <w:rsid w:val="008F6791"/>
    <w:rsid w:val="008F6982"/>
    <w:rsid w:val="00900253"/>
    <w:rsid w:val="0090091A"/>
    <w:rsid w:val="0090179A"/>
    <w:rsid w:val="0090184C"/>
    <w:rsid w:val="009019E2"/>
    <w:rsid w:val="0090247C"/>
    <w:rsid w:val="009042BD"/>
    <w:rsid w:val="00904502"/>
    <w:rsid w:val="00904FE4"/>
    <w:rsid w:val="00906F5E"/>
    <w:rsid w:val="009079DD"/>
    <w:rsid w:val="0091000B"/>
    <w:rsid w:val="00910CB4"/>
    <w:rsid w:val="00910FFB"/>
    <w:rsid w:val="00911D7E"/>
    <w:rsid w:val="0091304A"/>
    <w:rsid w:val="00914FCD"/>
    <w:rsid w:val="00920E38"/>
    <w:rsid w:val="00924166"/>
    <w:rsid w:val="00927114"/>
    <w:rsid w:val="00931E93"/>
    <w:rsid w:val="009332BE"/>
    <w:rsid w:val="00935521"/>
    <w:rsid w:val="0093579A"/>
    <w:rsid w:val="00936159"/>
    <w:rsid w:val="00936226"/>
    <w:rsid w:val="0094092F"/>
    <w:rsid w:val="009409E7"/>
    <w:rsid w:val="00943391"/>
    <w:rsid w:val="00945733"/>
    <w:rsid w:val="00946C8B"/>
    <w:rsid w:val="00951C19"/>
    <w:rsid w:val="00954F4F"/>
    <w:rsid w:val="00956CE7"/>
    <w:rsid w:val="0095775C"/>
    <w:rsid w:val="00957ABE"/>
    <w:rsid w:val="00960CB5"/>
    <w:rsid w:val="00962256"/>
    <w:rsid w:val="00964B08"/>
    <w:rsid w:val="00965BCE"/>
    <w:rsid w:val="009660D2"/>
    <w:rsid w:val="00967C2F"/>
    <w:rsid w:val="00967C3E"/>
    <w:rsid w:val="009716FE"/>
    <w:rsid w:val="0097256F"/>
    <w:rsid w:val="00975E26"/>
    <w:rsid w:val="00975E5B"/>
    <w:rsid w:val="009770AC"/>
    <w:rsid w:val="00977431"/>
    <w:rsid w:val="00977D4E"/>
    <w:rsid w:val="00977E1D"/>
    <w:rsid w:val="00980C3B"/>
    <w:rsid w:val="00981450"/>
    <w:rsid w:val="00982522"/>
    <w:rsid w:val="00982B24"/>
    <w:rsid w:val="00984056"/>
    <w:rsid w:val="00984B3A"/>
    <w:rsid w:val="00986A90"/>
    <w:rsid w:val="0098739C"/>
    <w:rsid w:val="00987718"/>
    <w:rsid w:val="009878CB"/>
    <w:rsid w:val="0099097E"/>
    <w:rsid w:val="00991248"/>
    <w:rsid w:val="00991982"/>
    <w:rsid w:val="009A0796"/>
    <w:rsid w:val="009A0FF3"/>
    <w:rsid w:val="009A47AC"/>
    <w:rsid w:val="009A4B41"/>
    <w:rsid w:val="009A5086"/>
    <w:rsid w:val="009A61E1"/>
    <w:rsid w:val="009A760F"/>
    <w:rsid w:val="009A7B06"/>
    <w:rsid w:val="009B0419"/>
    <w:rsid w:val="009B0573"/>
    <w:rsid w:val="009B083D"/>
    <w:rsid w:val="009B14E2"/>
    <w:rsid w:val="009B3315"/>
    <w:rsid w:val="009B650C"/>
    <w:rsid w:val="009B6811"/>
    <w:rsid w:val="009B7B4B"/>
    <w:rsid w:val="009B7C21"/>
    <w:rsid w:val="009C00FB"/>
    <w:rsid w:val="009C0840"/>
    <w:rsid w:val="009C1DF8"/>
    <w:rsid w:val="009C2E88"/>
    <w:rsid w:val="009C327F"/>
    <w:rsid w:val="009C4402"/>
    <w:rsid w:val="009C442B"/>
    <w:rsid w:val="009C5B1F"/>
    <w:rsid w:val="009D02C4"/>
    <w:rsid w:val="009D0625"/>
    <w:rsid w:val="009D0932"/>
    <w:rsid w:val="009D0E43"/>
    <w:rsid w:val="009D10DC"/>
    <w:rsid w:val="009D29AC"/>
    <w:rsid w:val="009D2CD2"/>
    <w:rsid w:val="009D48A1"/>
    <w:rsid w:val="009D4B89"/>
    <w:rsid w:val="009D5133"/>
    <w:rsid w:val="009E3371"/>
    <w:rsid w:val="009E4964"/>
    <w:rsid w:val="009E56F0"/>
    <w:rsid w:val="009E5A7F"/>
    <w:rsid w:val="009E6BE6"/>
    <w:rsid w:val="009F1987"/>
    <w:rsid w:val="009F29BD"/>
    <w:rsid w:val="009F3EB3"/>
    <w:rsid w:val="009F57FA"/>
    <w:rsid w:val="009F5AE5"/>
    <w:rsid w:val="00A000A7"/>
    <w:rsid w:val="00A02817"/>
    <w:rsid w:val="00A03C04"/>
    <w:rsid w:val="00A03E86"/>
    <w:rsid w:val="00A04992"/>
    <w:rsid w:val="00A04BB3"/>
    <w:rsid w:val="00A10F4F"/>
    <w:rsid w:val="00A1108A"/>
    <w:rsid w:val="00A142A5"/>
    <w:rsid w:val="00A147AA"/>
    <w:rsid w:val="00A15B16"/>
    <w:rsid w:val="00A15C91"/>
    <w:rsid w:val="00A175C2"/>
    <w:rsid w:val="00A17D56"/>
    <w:rsid w:val="00A2026C"/>
    <w:rsid w:val="00A20A67"/>
    <w:rsid w:val="00A2134F"/>
    <w:rsid w:val="00A21D71"/>
    <w:rsid w:val="00A22B78"/>
    <w:rsid w:val="00A22FD1"/>
    <w:rsid w:val="00A230D7"/>
    <w:rsid w:val="00A23990"/>
    <w:rsid w:val="00A244B1"/>
    <w:rsid w:val="00A24F0E"/>
    <w:rsid w:val="00A2550C"/>
    <w:rsid w:val="00A25AE5"/>
    <w:rsid w:val="00A27886"/>
    <w:rsid w:val="00A30C7F"/>
    <w:rsid w:val="00A30D5B"/>
    <w:rsid w:val="00A34695"/>
    <w:rsid w:val="00A367EC"/>
    <w:rsid w:val="00A37002"/>
    <w:rsid w:val="00A4355E"/>
    <w:rsid w:val="00A45AF9"/>
    <w:rsid w:val="00A46264"/>
    <w:rsid w:val="00A47042"/>
    <w:rsid w:val="00A47589"/>
    <w:rsid w:val="00A47A81"/>
    <w:rsid w:val="00A47D36"/>
    <w:rsid w:val="00A50253"/>
    <w:rsid w:val="00A51F9B"/>
    <w:rsid w:val="00A5361A"/>
    <w:rsid w:val="00A54D1C"/>
    <w:rsid w:val="00A55E21"/>
    <w:rsid w:val="00A577E8"/>
    <w:rsid w:val="00A60BB7"/>
    <w:rsid w:val="00A6341D"/>
    <w:rsid w:val="00A65C49"/>
    <w:rsid w:val="00A66B0D"/>
    <w:rsid w:val="00A675C2"/>
    <w:rsid w:val="00A67948"/>
    <w:rsid w:val="00A710D8"/>
    <w:rsid w:val="00A7250D"/>
    <w:rsid w:val="00A728FF"/>
    <w:rsid w:val="00A72FCC"/>
    <w:rsid w:val="00A75C69"/>
    <w:rsid w:val="00A80544"/>
    <w:rsid w:val="00A81C65"/>
    <w:rsid w:val="00A82219"/>
    <w:rsid w:val="00A829BE"/>
    <w:rsid w:val="00A83BA7"/>
    <w:rsid w:val="00A84554"/>
    <w:rsid w:val="00A91A7D"/>
    <w:rsid w:val="00A91FF1"/>
    <w:rsid w:val="00A92BCD"/>
    <w:rsid w:val="00A93A4D"/>
    <w:rsid w:val="00A9608F"/>
    <w:rsid w:val="00A9720E"/>
    <w:rsid w:val="00A97358"/>
    <w:rsid w:val="00AA1B0E"/>
    <w:rsid w:val="00AA2EE2"/>
    <w:rsid w:val="00AA3540"/>
    <w:rsid w:val="00AA47B6"/>
    <w:rsid w:val="00AA5216"/>
    <w:rsid w:val="00AA53C5"/>
    <w:rsid w:val="00AA5E7F"/>
    <w:rsid w:val="00AA5FD1"/>
    <w:rsid w:val="00AA6603"/>
    <w:rsid w:val="00AB1359"/>
    <w:rsid w:val="00AB1E56"/>
    <w:rsid w:val="00AB2BD8"/>
    <w:rsid w:val="00AB3730"/>
    <w:rsid w:val="00AB4F95"/>
    <w:rsid w:val="00AB5CE4"/>
    <w:rsid w:val="00AB6232"/>
    <w:rsid w:val="00AB7BFE"/>
    <w:rsid w:val="00AC1454"/>
    <w:rsid w:val="00AC163B"/>
    <w:rsid w:val="00AC2302"/>
    <w:rsid w:val="00AC26C6"/>
    <w:rsid w:val="00AC3E45"/>
    <w:rsid w:val="00AC434C"/>
    <w:rsid w:val="00AC4C0F"/>
    <w:rsid w:val="00AC4C2A"/>
    <w:rsid w:val="00AC5198"/>
    <w:rsid w:val="00AC5240"/>
    <w:rsid w:val="00AC5CA7"/>
    <w:rsid w:val="00AC6058"/>
    <w:rsid w:val="00AC7B77"/>
    <w:rsid w:val="00AD04B2"/>
    <w:rsid w:val="00AD12A3"/>
    <w:rsid w:val="00AD1FB0"/>
    <w:rsid w:val="00AD7527"/>
    <w:rsid w:val="00AE0A56"/>
    <w:rsid w:val="00AE2422"/>
    <w:rsid w:val="00AE2811"/>
    <w:rsid w:val="00AE2BA5"/>
    <w:rsid w:val="00AE521F"/>
    <w:rsid w:val="00AE56B1"/>
    <w:rsid w:val="00AE6D09"/>
    <w:rsid w:val="00AE7B33"/>
    <w:rsid w:val="00AF1744"/>
    <w:rsid w:val="00AF1BAF"/>
    <w:rsid w:val="00AF3804"/>
    <w:rsid w:val="00AF38AA"/>
    <w:rsid w:val="00AF3C51"/>
    <w:rsid w:val="00AF3DEE"/>
    <w:rsid w:val="00AF74B8"/>
    <w:rsid w:val="00AF7A7C"/>
    <w:rsid w:val="00B01218"/>
    <w:rsid w:val="00B01EFE"/>
    <w:rsid w:val="00B02070"/>
    <w:rsid w:val="00B02CFB"/>
    <w:rsid w:val="00B03789"/>
    <w:rsid w:val="00B051C7"/>
    <w:rsid w:val="00B10597"/>
    <w:rsid w:val="00B11C67"/>
    <w:rsid w:val="00B12AE5"/>
    <w:rsid w:val="00B14DB2"/>
    <w:rsid w:val="00B157F8"/>
    <w:rsid w:val="00B1648C"/>
    <w:rsid w:val="00B16F9A"/>
    <w:rsid w:val="00B20F12"/>
    <w:rsid w:val="00B219F6"/>
    <w:rsid w:val="00B22FB2"/>
    <w:rsid w:val="00B25ED5"/>
    <w:rsid w:val="00B32690"/>
    <w:rsid w:val="00B32EB7"/>
    <w:rsid w:val="00B3328B"/>
    <w:rsid w:val="00B349C8"/>
    <w:rsid w:val="00B408B6"/>
    <w:rsid w:val="00B42CCD"/>
    <w:rsid w:val="00B433B3"/>
    <w:rsid w:val="00B4772C"/>
    <w:rsid w:val="00B5033B"/>
    <w:rsid w:val="00B50EA9"/>
    <w:rsid w:val="00B518B4"/>
    <w:rsid w:val="00B518EF"/>
    <w:rsid w:val="00B51CA4"/>
    <w:rsid w:val="00B53972"/>
    <w:rsid w:val="00B53C21"/>
    <w:rsid w:val="00B542DA"/>
    <w:rsid w:val="00B55557"/>
    <w:rsid w:val="00B55C26"/>
    <w:rsid w:val="00B60617"/>
    <w:rsid w:val="00B615E9"/>
    <w:rsid w:val="00B63DB5"/>
    <w:rsid w:val="00B648B1"/>
    <w:rsid w:val="00B64DF5"/>
    <w:rsid w:val="00B70A0E"/>
    <w:rsid w:val="00B70D9E"/>
    <w:rsid w:val="00B70F47"/>
    <w:rsid w:val="00B72A0F"/>
    <w:rsid w:val="00B736FA"/>
    <w:rsid w:val="00B73862"/>
    <w:rsid w:val="00B73867"/>
    <w:rsid w:val="00B73F43"/>
    <w:rsid w:val="00B74952"/>
    <w:rsid w:val="00B75F62"/>
    <w:rsid w:val="00B76E65"/>
    <w:rsid w:val="00B77685"/>
    <w:rsid w:val="00B83851"/>
    <w:rsid w:val="00B85994"/>
    <w:rsid w:val="00B865DE"/>
    <w:rsid w:val="00B879B7"/>
    <w:rsid w:val="00B927F0"/>
    <w:rsid w:val="00B92C52"/>
    <w:rsid w:val="00B94F39"/>
    <w:rsid w:val="00B95916"/>
    <w:rsid w:val="00B95AD2"/>
    <w:rsid w:val="00B96D3D"/>
    <w:rsid w:val="00B96FAB"/>
    <w:rsid w:val="00B97B7E"/>
    <w:rsid w:val="00BA0DD3"/>
    <w:rsid w:val="00BA101D"/>
    <w:rsid w:val="00BA2BF5"/>
    <w:rsid w:val="00BA62D2"/>
    <w:rsid w:val="00BA65D5"/>
    <w:rsid w:val="00BA6B66"/>
    <w:rsid w:val="00BA6D22"/>
    <w:rsid w:val="00BA6E48"/>
    <w:rsid w:val="00BB0A31"/>
    <w:rsid w:val="00BB15E8"/>
    <w:rsid w:val="00BB44E7"/>
    <w:rsid w:val="00BB52A3"/>
    <w:rsid w:val="00BB5536"/>
    <w:rsid w:val="00BB7A05"/>
    <w:rsid w:val="00BC02A2"/>
    <w:rsid w:val="00BC0569"/>
    <w:rsid w:val="00BC0740"/>
    <w:rsid w:val="00BC0B9D"/>
    <w:rsid w:val="00BC4938"/>
    <w:rsid w:val="00BD0599"/>
    <w:rsid w:val="00BD1219"/>
    <w:rsid w:val="00BD17E0"/>
    <w:rsid w:val="00BD4E34"/>
    <w:rsid w:val="00BE0AF6"/>
    <w:rsid w:val="00BE10B4"/>
    <w:rsid w:val="00BE1F03"/>
    <w:rsid w:val="00BE4ECF"/>
    <w:rsid w:val="00BE5719"/>
    <w:rsid w:val="00BE58A7"/>
    <w:rsid w:val="00BF0F4B"/>
    <w:rsid w:val="00BF1E1E"/>
    <w:rsid w:val="00BF2218"/>
    <w:rsid w:val="00BF271C"/>
    <w:rsid w:val="00BF281D"/>
    <w:rsid w:val="00BF3C83"/>
    <w:rsid w:val="00BF4478"/>
    <w:rsid w:val="00BF66C6"/>
    <w:rsid w:val="00C028BF"/>
    <w:rsid w:val="00C02BFA"/>
    <w:rsid w:val="00C0426B"/>
    <w:rsid w:val="00C045DF"/>
    <w:rsid w:val="00C06DE4"/>
    <w:rsid w:val="00C116CB"/>
    <w:rsid w:val="00C12E7E"/>
    <w:rsid w:val="00C13DDB"/>
    <w:rsid w:val="00C143A4"/>
    <w:rsid w:val="00C14562"/>
    <w:rsid w:val="00C14C52"/>
    <w:rsid w:val="00C169E7"/>
    <w:rsid w:val="00C177DE"/>
    <w:rsid w:val="00C17DD8"/>
    <w:rsid w:val="00C17F8E"/>
    <w:rsid w:val="00C20277"/>
    <w:rsid w:val="00C26D43"/>
    <w:rsid w:val="00C2754D"/>
    <w:rsid w:val="00C30151"/>
    <w:rsid w:val="00C305FD"/>
    <w:rsid w:val="00C307B8"/>
    <w:rsid w:val="00C31711"/>
    <w:rsid w:val="00C3381B"/>
    <w:rsid w:val="00C348E5"/>
    <w:rsid w:val="00C35094"/>
    <w:rsid w:val="00C36CDF"/>
    <w:rsid w:val="00C372A8"/>
    <w:rsid w:val="00C373BF"/>
    <w:rsid w:val="00C37F8E"/>
    <w:rsid w:val="00C42080"/>
    <w:rsid w:val="00C46548"/>
    <w:rsid w:val="00C46FDF"/>
    <w:rsid w:val="00C52797"/>
    <w:rsid w:val="00C54C4A"/>
    <w:rsid w:val="00C55E81"/>
    <w:rsid w:val="00C574D5"/>
    <w:rsid w:val="00C60950"/>
    <w:rsid w:val="00C6222C"/>
    <w:rsid w:val="00C629A6"/>
    <w:rsid w:val="00C64967"/>
    <w:rsid w:val="00C665E9"/>
    <w:rsid w:val="00C66EC2"/>
    <w:rsid w:val="00C67E63"/>
    <w:rsid w:val="00C71F22"/>
    <w:rsid w:val="00C71F9D"/>
    <w:rsid w:val="00C726BE"/>
    <w:rsid w:val="00C73F32"/>
    <w:rsid w:val="00C75032"/>
    <w:rsid w:val="00C7586E"/>
    <w:rsid w:val="00C76363"/>
    <w:rsid w:val="00C7665D"/>
    <w:rsid w:val="00C83A64"/>
    <w:rsid w:val="00C8516F"/>
    <w:rsid w:val="00C86CA5"/>
    <w:rsid w:val="00C87462"/>
    <w:rsid w:val="00C874F6"/>
    <w:rsid w:val="00C900ED"/>
    <w:rsid w:val="00C90CDA"/>
    <w:rsid w:val="00C92EF3"/>
    <w:rsid w:val="00C930B9"/>
    <w:rsid w:val="00C93885"/>
    <w:rsid w:val="00C9440F"/>
    <w:rsid w:val="00C94815"/>
    <w:rsid w:val="00C9512F"/>
    <w:rsid w:val="00C96903"/>
    <w:rsid w:val="00C972CB"/>
    <w:rsid w:val="00CA02AF"/>
    <w:rsid w:val="00CA07E3"/>
    <w:rsid w:val="00CA180C"/>
    <w:rsid w:val="00CA2B84"/>
    <w:rsid w:val="00CA4630"/>
    <w:rsid w:val="00CA551A"/>
    <w:rsid w:val="00CA723F"/>
    <w:rsid w:val="00CB0D70"/>
    <w:rsid w:val="00CB1492"/>
    <w:rsid w:val="00CB1541"/>
    <w:rsid w:val="00CB22B2"/>
    <w:rsid w:val="00CB421E"/>
    <w:rsid w:val="00CB4AB6"/>
    <w:rsid w:val="00CB649A"/>
    <w:rsid w:val="00CC3EE2"/>
    <w:rsid w:val="00CC4447"/>
    <w:rsid w:val="00CC5ECC"/>
    <w:rsid w:val="00CC6908"/>
    <w:rsid w:val="00CD0E34"/>
    <w:rsid w:val="00CD4F1D"/>
    <w:rsid w:val="00CD506F"/>
    <w:rsid w:val="00CD5D17"/>
    <w:rsid w:val="00CD6FC9"/>
    <w:rsid w:val="00CD7492"/>
    <w:rsid w:val="00CE3A6B"/>
    <w:rsid w:val="00CE41A7"/>
    <w:rsid w:val="00CE6306"/>
    <w:rsid w:val="00CE6613"/>
    <w:rsid w:val="00CF215C"/>
    <w:rsid w:val="00CF2AAF"/>
    <w:rsid w:val="00CF2B05"/>
    <w:rsid w:val="00CF2E29"/>
    <w:rsid w:val="00CF41B5"/>
    <w:rsid w:val="00CF42EA"/>
    <w:rsid w:val="00CF5871"/>
    <w:rsid w:val="00CF6837"/>
    <w:rsid w:val="00D00211"/>
    <w:rsid w:val="00D01CD1"/>
    <w:rsid w:val="00D022AE"/>
    <w:rsid w:val="00D04749"/>
    <w:rsid w:val="00D04A9E"/>
    <w:rsid w:val="00D06309"/>
    <w:rsid w:val="00D07ADC"/>
    <w:rsid w:val="00D111EF"/>
    <w:rsid w:val="00D12D0F"/>
    <w:rsid w:val="00D1739B"/>
    <w:rsid w:val="00D22BA3"/>
    <w:rsid w:val="00D237C1"/>
    <w:rsid w:val="00D2381C"/>
    <w:rsid w:val="00D23B52"/>
    <w:rsid w:val="00D241D1"/>
    <w:rsid w:val="00D25DDF"/>
    <w:rsid w:val="00D303D3"/>
    <w:rsid w:val="00D31156"/>
    <w:rsid w:val="00D3503D"/>
    <w:rsid w:val="00D351EA"/>
    <w:rsid w:val="00D40288"/>
    <w:rsid w:val="00D41C07"/>
    <w:rsid w:val="00D43403"/>
    <w:rsid w:val="00D43B15"/>
    <w:rsid w:val="00D44787"/>
    <w:rsid w:val="00D455F1"/>
    <w:rsid w:val="00D5270B"/>
    <w:rsid w:val="00D54B78"/>
    <w:rsid w:val="00D554E9"/>
    <w:rsid w:val="00D55E94"/>
    <w:rsid w:val="00D57068"/>
    <w:rsid w:val="00D574DC"/>
    <w:rsid w:val="00D618BF"/>
    <w:rsid w:val="00D6298A"/>
    <w:rsid w:val="00D62B9A"/>
    <w:rsid w:val="00D62E71"/>
    <w:rsid w:val="00D6430D"/>
    <w:rsid w:val="00D65299"/>
    <w:rsid w:val="00D65C12"/>
    <w:rsid w:val="00D66188"/>
    <w:rsid w:val="00D67E2B"/>
    <w:rsid w:val="00D70041"/>
    <w:rsid w:val="00D716F3"/>
    <w:rsid w:val="00D72666"/>
    <w:rsid w:val="00D72683"/>
    <w:rsid w:val="00D727BC"/>
    <w:rsid w:val="00D731F6"/>
    <w:rsid w:val="00D740CA"/>
    <w:rsid w:val="00D83A10"/>
    <w:rsid w:val="00D84805"/>
    <w:rsid w:val="00D849A8"/>
    <w:rsid w:val="00D85728"/>
    <w:rsid w:val="00D857EC"/>
    <w:rsid w:val="00D85D69"/>
    <w:rsid w:val="00D86D05"/>
    <w:rsid w:val="00D902B7"/>
    <w:rsid w:val="00D90F61"/>
    <w:rsid w:val="00D91005"/>
    <w:rsid w:val="00D91C7B"/>
    <w:rsid w:val="00D91FA4"/>
    <w:rsid w:val="00D94074"/>
    <w:rsid w:val="00D94D5F"/>
    <w:rsid w:val="00D95481"/>
    <w:rsid w:val="00DA0FB1"/>
    <w:rsid w:val="00DA1538"/>
    <w:rsid w:val="00DA2025"/>
    <w:rsid w:val="00DA2A33"/>
    <w:rsid w:val="00DA2DB8"/>
    <w:rsid w:val="00DA3311"/>
    <w:rsid w:val="00DA52F1"/>
    <w:rsid w:val="00DA5439"/>
    <w:rsid w:val="00DA5AAB"/>
    <w:rsid w:val="00DA6737"/>
    <w:rsid w:val="00DA6C6D"/>
    <w:rsid w:val="00DA7C3D"/>
    <w:rsid w:val="00DB0774"/>
    <w:rsid w:val="00DB342B"/>
    <w:rsid w:val="00DB3D1C"/>
    <w:rsid w:val="00DB4242"/>
    <w:rsid w:val="00DB433C"/>
    <w:rsid w:val="00DB49D8"/>
    <w:rsid w:val="00DB4F48"/>
    <w:rsid w:val="00DB5AD2"/>
    <w:rsid w:val="00DB5D15"/>
    <w:rsid w:val="00DB6154"/>
    <w:rsid w:val="00DB66A1"/>
    <w:rsid w:val="00DB68D5"/>
    <w:rsid w:val="00DB78E1"/>
    <w:rsid w:val="00DB7F28"/>
    <w:rsid w:val="00DC1498"/>
    <w:rsid w:val="00DC4BC2"/>
    <w:rsid w:val="00DC6126"/>
    <w:rsid w:val="00DC7A13"/>
    <w:rsid w:val="00DC7C6E"/>
    <w:rsid w:val="00DD0599"/>
    <w:rsid w:val="00DD0A17"/>
    <w:rsid w:val="00DD10AA"/>
    <w:rsid w:val="00DD1443"/>
    <w:rsid w:val="00DD425E"/>
    <w:rsid w:val="00DD4D5E"/>
    <w:rsid w:val="00DD539F"/>
    <w:rsid w:val="00DD5AC6"/>
    <w:rsid w:val="00DD5CBA"/>
    <w:rsid w:val="00DE11F1"/>
    <w:rsid w:val="00DE212F"/>
    <w:rsid w:val="00DE433F"/>
    <w:rsid w:val="00DE5BD4"/>
    <w:rsid w:val="00DE5E3B"/>
    <w:rsid w:val="00DE649C"/>
    <w:rsid w:val="00DE7629"/>
    <w:rsid w:val="00DE7BE6"/>
    <w:rsid w:val="00DF268E"/>
    <w:rsid w:val="00DF2997"/>
    <w:rsid w:val="00DF395E"/>
    <w:rsid w:val="00DF4C14"/>
    <w:rsid w:val="00E00798"/>
    <w:rsid w:val="00E018DE"/>
    <w:rsid w:val="00E01DC0"/>
    <w:rsid w:val="00E03302"/>
    <w:rsid w:val="00E0446E"/>
    <w:rsid w:val="00E04ED0"/>
    <w:rsid w:val="00E063B7"/>
    <w:rsid w:val="00E07221"/>
    <w:rsid w:val="00E10341"/>
    <w:rsid w:val="00E10BC4"/>
    <w:rsid w:val="00E113E9"/>
    <w:rsid w:val="00E11F96"/>
    <w:rsid w:val="00E1415D"/>
    <w:rsid w:val="00E17CF3"/>
    <w:rsid w:val="00E17FFE"/>
    <w:rsid w:val="00E20A22"/>
    <w:rsid w:val="00E213DD"/>
    <w:rsid w:val="00E21E73"/>
    <w:rsid w:val="00E2216F"/>
    <w:rsid w:val="00E22916"/>
    <w:rsid w:val="00E2367A"/>
    <w:rsid w:val="00E323E9"/>
    <w:rsid w:val="00E34018"/>
    <w:rsid w:val="00E346BB"/>
    <w:rsid w:val="00E34DB1"/>
    <w:rsid w:val="00E37025"/>
    <w:rsid w:val="00E413F4"/>
    <w:rsid w:val="00E41448"/>
    <w:rsid w:val="00E41717"/>
    <w:rsid w:val="00E41EC8"/>
    <w:rsid w:val="00E425E3"/>
    <w:rsid w:val="00E437D2"/>
    <w:rsid w:val="00E43A0E"/>
    <w:rsid w:val="00E4531A"/>
    <w:rsid w:val="00E461D2"/>
    <w:rsid w:val="00E47C32"/>
    <w:rsid w:val="00E529EC"/>
    <w:rsid w:val="00E54963"/>
    <w:rsid w:val="00E551ED"/>
    <w:rsid w:val="00E55450"/>
    <w:rsid w:val="00E55751"/>
    <w:rsid w:val="00E60E47"/>
    <w:rsid w:val="00E61797"/>
    <w:rsid w:val="00E63F72"/>
    <w:rsid w:val="00E6431B"/>
    <w:rsid w:val="00E64DCC"/>
    <w:rsid w:val="00E66264"/>
    <w:rsid w:val="00E67183"/>
    <w:rsid w:val="00E715A2"/>
    <w:rsid w:val="00E71B83"/>
    <w:rsid w:val="00E72180"/>
    <w:rsid w:val="00E73598"/>
    <w:rsid w:val="00E74F83"/>
    <w:rsid w:val="00E757EE"/>
    <w:rsid w:val="00E75956"/>
    <w:rsid w:val="00E75C54"/>
    <w:rsid w:val="00E76C5F"/>
    <w:rsid w:val="00E808A2"/>
    <w:rsid w:val="00E80D61"/>
    <w:rsid w:val="00E84257"/>
    <w:rsid w:val="00E86000"/>
    <w:rsid w:val="00E867B9"/>
    <w:rsid w:val="00E87642"/>
    <w:rsid w:val="00E92658"/>
    <w:rsid w:val="00E94CC8"/>
    <w:rsid w:val="00E96244"/>
    <w:rsid w:val="00EA0183"/>
    <w:rsid w:val="00EA0DCC"/>
    <w:rsid w:val="00EA2311"/>
    <w:rsid w:val="00EA2D30"/>
    <w:rsid w:val="00EA2E98"/>
    <w:rsid w:val="00EA34DA"/>
    <w:rsid w:val="00EA398C"/>
    <w:rsid w:val="00EA645F"/>
    <w:rsid w:val="00EA70DD"/>
    <w:rsid w:val="00EB0008"/>
    <w:rsid w:val="00EB12B1"/>
    <w:rsid w:val="00EB296D"/>
    <w:rsid w:val="00EB44E3"/>
    <w:rsid w:val="00EB79F2"/>
    <w:rsid w:val="00EB7D9F"/>
    <w:rsid w:val="00EC19A9"/>
    <w:rsid w:val="00EC30FA"/>
    <w:rsid w:val="00EC499F"/>
    <w:rsid w:val="00EC7BC3"/>
    <w:rsid w:val="00ED0324"/>
    <w:rsid w:val="00ED33B0"/>
    <w:rsid w:val="00ED3EFD"/>
    <w:rsid w:val="00ED5E03"/>
    <w:rsid w:val="00ED5E19"/>
    <w:rsid w:val="00ED7600"/>
    <w:rsid w:val="00ED7D5F"/>
    <w:rsid w:val="00EE1CA4"/>
    <w:rsid w:val="00EE3C9D"/>
    <w:rsid w:val="00EE3D27"/>
    <w:rsid w:val="00EE66A4"/>
    <w:rsid w:val="00EE743C"/>
    <w:rsid w:val="00EE7EFF"/>
    <w:rsid w:val="00EF02C1"/>
    <w:rsid w:val="00EF02D7"/>
    <w:rsid w:val="00EF1A95"/>
    <w:rsid w:val="00EF3D51"/>
    <w:rsid w:val="00EF3DA2"/>
    <w:rsid w:val="00EF4CEE"/>
    <w:rsid w:val="00EF6073"/>
    <w:rsid w:val="00EF698B"/>
    <w:rsid w:val="00EF6B74"/>
    <w:rsid w:val="00F0146D"/>
    <w:rsid w:val="00F02170"/>
    <w:rsid w:val="00F03365"/>
    <w:rsid w:val="00F03776"/>
    <w:rsid w:val="00F043DF"/>
    <w:rsid w:val="00F05179"/>
    <w:rsid w:val="00F05549"/>
    <w:rsid w:val="00F05B23"/>
    <w:rsid w:val="00F0609E"/>
    <w:rsid w:val="00F112D2"/>
    <w:rsid w:val="00F121AF"/>
    <w:rsid w:val="00F1362C"/>
    <w:rsid w:val="00F14EE0"/>
    <w:rsid w:val="00F14F1B"/>
    <w:rsid w:val="00F15DB9"/>
    <w:rsid w:val="00F15FEB"/>
    <w:rsid w:val="00F17254"/>
    <w:rsid w:val="00F21D27"/>
    <w:rsid w:val="00F23064"/>
    <w:rsid w:val="00F25A51"/>
    <w:rsid w:val="00F2619D"/>
    <w:rsid w:val="00F35365"/>
    <w:rsid w:val="00F3564A"/>
    <w:rsid w:val="00F362E8"/>
    <w:rsid w:val="00F36590"/>
    <w:rsid w:val="00F36F0D"/>
    <w:rsid w:val="00F37980"/>
    <w:rsid w:val="00F37EC4"/>
    <w:rsid w:val="00F4093D"/>
    <w:rsid w:val="00F414F1"/>
    <w:rsid w:val="00F42193"/>
    <w:rsid w:val="00F45632"/>
    <w:rsid w:val="00F46121"/>
    <w:rsid w:val="00F47083"/>
    <w:rsid w:val="00F4740D"/>
    <w:rsid w:val="00F508B8"/>
    <w:rsid w:val="00F51067"/>
    <w:rsid w:val="00F53A2E"/>
    <w:rsid w:val="00F5494A"/>
    <w:rsid w:val="00F57263"/>
    <w:rsid w:val="00F604D6"/>
    <w:rsid w:val="00F64DC1"/>
    <w:rsid w:val="00F66F86"/>
    <w:rsid w:val="00F66FDA"/>
    <w:rsid w:val="00F672EA"/>
    <w:rsid w:val="00F7081F"/>
    <w:rsid w:val="00F7085A"/>
    <w:rsid w:val="00F718E0"/>
    <w:rsid w:val="00F72286"/>
    <w:rsid w:val="00F72CB1"/>
    <w:rsid w:val="00F76541"/>
    <w:rsid w:val="00F76DE0"/>
    <w:rsid w:val="00F77E37"/>
    <w:rsid w:val="00F807C1"/>
    <w:rsid w:val="00F81F8C"/>
    <w:rsid w:val="00F8215E"/>
    <w:rsid w:val="00F824F5"/>
    <w:rsid w:val="00F841F9"/>
    <w:rsid w:val="00F90FAB"/>
    <w:rsid w:val="00F91812"/>
    <w:rsid w:val="00F9333B"/>
    <w:rsid w:val="00F9374D"/>
    <w:rsid w:val="00F939D0"/>
    <w:rsid w:val="00F945E9"/>
    <w:rsid w:val="00F9600A"/>
    <w:rsid w:val="00F97258"/>
    <w:rsid w:val="00FA612E"/>
    <w:rsid w:val="00FA6C24"/>
    <w:rsid w:val="00FA6DCF"/>
    <w:rsid w:val="00FB2E3B"/>
    <w:rsid w:val="00FB5B1F"/>
    <w:rsid w:val="00FB619E"/>
    <w:rsid w:val="00FB64F3"/>
    <w:rsid w:val="00FB760F"/>
    <w:rsid w:val="00FB7CCE"/>
    <w:rsid w:val="00FC1824"/>
    <w:rsid w:val="00FC29B9"/>
    <w:rsid w:val="00FC33DE"/>
    <w:rsid w:val="00FC3EED"/>
    <w:rsid w:val="00FC54C2"/>
    <w:rsid w:val="00FC6509"/>
    <w:rsid w:val="00FC6BBC"/>
    <w:rsid w:val="00FC6FD3"/>
    <w:rsid w:val="00FD218B"/>
    <w:rsid w:val="00FD400B"/>
    <w:rsid w:val="00FD5EB8"/>
    <w:rsid w:val="00FD7098"/>
    <w:rsid w:val="00FD77A5"/>
    <w:rsid w:val="00FD7FD2"/>
    <w:rsid w:val="00FE305C"/>
    <w:rsid w:val="00FE32BD"/>
    <w:rsid w:val="00FE6373"/>
    <w:rsid w:val="00FE63A0"/>
    <w:rsid w:val="00FE63CF"/>
    <w:rsid w:val="00FE762F"/>
    <w:rsid w:val="00FE7B85"/>
    <w:rsid w:val="00FF0301"/>
    <w:rsid w:val="00FF036E"/>
    <w:rsid w:val="00FF3E74"/>
    <w:rsid w:val="00FF4C8B"/>
    <w:rsid w:val="00FF7F16"/>
    <w:rsid w:val="19BF176F"/>
    <w:rsid w:val="3741CD7D"/>
    <w:rsid w:val="394945E2"/>
    <w:rsid w:val="42004DF7"/>
    <w:rsid w:val="45F6322F"/>
    <w:rsid w:val="6BC9C8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8E288"/>
  <w15:chartTrackingRefBased/>
  <w15:docId w15:val="{F036DF4E-3513-4835-98D3-0B2A4972748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B3DFC"/>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hAnsi="Arial" w:eastAsia="Times New Roman"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rsid w:val="003B659E"/>
    <w:rPr>
      <w:rFonts w:ascii="Arial" w:hAnsi="Arial" w:eastAsia="Times New Roman" w:cs="Times New Roman"/>
      <w:sz w:val="32"/>
      <w:szCs w:val="20"/>
      <w:lang w:val="en-GB"/>
    </w:rPr>
  </w:style>
  <w:style w:type="character" w:styleId="Heading1Char" w:customStyle="1">
    <w:name w:val="Heading 1 Char"/>
    <w:basedOn w:val="DefaultParagraphFont"/>
    <w:link w:val="Heading1"/>
    <w:uiPriority w:val="9"/>
    <w:rsid w:val="003B659E"/>
    <w:rPr>
      <w:rFonts w:asciiTheme="majorHAnsi" w:hAnsiTheme="majorHAnsi" w:eastAsiaTheme="majorEastAsia"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列出段"/>
    <w:basedOn w:val="Normal"/>
    <w:link w:val="ListParagraphChar"/>
    <w:uiPriority w:val="34"/>
    <w:qFormat/>
    <w:rsid w:val="002C2D19"/>
    <w:pPr>
      <w:ind w:left="720"/>
      <w:contextualSpacing/>
    </w:pPr>
  </w:style>
  <w:style w:type="paragraph" w:styleId="RAN4H2" w:customStyle="1">
    <w:name w:val="RAN4 H2"/>
    <w:basedOn w:val="Heading2"/>
    <w:next w:val="Normal"/>
    <w:link w:val="RAN4H2Char"/>
    <w:qFormat/>
    <w:rsid w:val="00A37002"/>
    <w:pPr>
      <w:numPr>
        <w:ilvl w:val="1"/>
        <w:numId w:val="4"/>
      </w:numPr>
      <w:ind w:left="431" w:hanging="431"/>
    </w:pPr>
  </w:style>
  <w:style w:type="paragraph" w:styleId="RAN4H1" w:customStyle="1">
    <w:name w:val="RAN4 H1"/>
    <w:basedOn w:val="Normal"/>
    <w:next w:val="Normal"/>
    <w:link w:val="RAN4H1Char"/>
    <w:qFormat/>
    <w:rsid w:val="00AE56B1"/>
    <w:pPr>
      <w:keepNext/>
      <w:keepLines/>
      <w:numPr>
        <w:numId w:val="4"/>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sz w:val="36"/>
      <w:szCs w:val="20"/>
    </w:rPr>
  </w:style>
  <w:style w:type="character" w:styleId="RAN4H2Char" w:customStyle="1">
    <w:name w:val="RAN4 H2 Char"/>
    <w:basedOn w:val="Heading2Char"/>
    <w:link w:val="RAN4H2"/>
    <w:rsid w:val="00A37002"/>
    <w:rPr>
      <w:rFonts w:ascii="Arial" w:hAnsi="Arial" w:eastAsia="Times New Roman" w:cs="Times New Roman"/>
      <w:sz w:val="32"/>
      <w:szCs w:val="20"/>
      <w:lang w:val="en-GB"/>
    </w:rPr>
  </w:style>
  <w:style w:type="paragraph" w:styleId="RAN4Observation" w:customStyle="1">
    <w:name w:val="RAN4 Observation"/>
    <w:basedOn w:val="ListParagraph"/>
    <w:next w:val="Normal"/>
    <w:link w:val="RAN4ObservationChar"/>
    <w:rsid w:val="0008612A"/>
    <w:pPr>
      <w:numPr>
        <w:numId w:val="2"/>
      </w:numPr>
    </w:pPr>
    <w:rPr>
      <w:rFonts w:eastAsia="Calibri" w:cs="Times New Roman"/>
      <w:szCs w:val="20"/>
    </w:rPr>
  </w:style>
  <w:style w:type="character" w:styleId="RAN4H1Char" w:customStyle="1">
    <w:name w:val="RAN4 H1 Char"/>
    <w:basedOn w:val="DefaultParagraphFont"/>
    <w:link w:val="RAN4H1"/>
    <w:rsid w:val="00AE56B1"/>
    <w:rPr>
      <w:rFonts w:ascii="Arial" w:hAnsi="Arial" w:eastAsia="SimSun" w:cs="Times New Roman"/>
      <w:sz w:val="36"/>
      <w:szCs w:val="20"/>
    </w:rPr>
  </w:style>
  <w:style w:type="paragraph" w:styleId="RAN4Proposal0" w:customStyle="1">
    <w:name w:val="RAN4 Proposal"/>
    <w:basedOn w:val="ListParagraph"/>
    <w:next w:val="Normal"/>
    <w:link w:val="RAN4ProposalChar"/>
    <w:rsid w:val="0008612A"/>
    <w:pPr>
      <w:numPr>
        <w:numId w:val="1"/>
      </w:numPr>
      <w:ind w:left="0" w:firstLine="0"/>
    </w:pPr>
    <w:rPr>
      <w:rFonts w:eastAsia="Calibri" w:cs="Times New Roman"/>
      <w:b/>
      <w:szCs w:val="20"/>
    </w:rPr>
  </w:style>
  <w:style w:type="character" w:styleId="ListParagraphChar" w:customStyle="1">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styleId="RAN4ObservationChar" w:customStyle="1">
    <w:name w:val="RAN4 Observation Char"/>
    <w:basedOn w:val="ListParagraphChar"/>
    <w:link w:val="RAN4Observation"/>
    <w:rsid w:val="0008612A"/>
    <w:rPr>
      <w:rFonts w:ascii="Times New Roman" w:hAnsi="Times New Roman" w:eastAsia="Calibri"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AN4ProposalChar" w:customStyle="1">
    <w:name w:val="RAN4 Proposal Char"/>
    <w:basedOn w:val="ListParagraphChar"/>
    <w:link w:val="RAN4Proposal0"/>
    <w:rsid w:val="0008612A"/>
    <w:rPr>
      <w:rFonts w:ascii="Times New Roman" w:hAnsi="Times New Roman" w:eastAsia="Calibri" w:cs="Times New Roman"/>
      <w:b/>
      <w:sz w:val="20"/>
      <w:szCs w:val="20"/>
    </w:rPr>
  </w:style>
  <w:style w:type="paragraph" w:styleId="RAN4proposal" w:customStyle="1">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styleId="CaptionChar" w:customStyle="1">
    <w:name w:val="Caption Char"/>
    <w:basedOn w:val="DefaultParagraphFont"/>
    <w:link w:val="Caption"/>
    <w:uiPriority w:val="35"/>
    <w:rsid w:val="00FC29B9"/>
    <w:rPr>
      <w:rFonts w:ascii="Arial" w:hAnsi="Arial"/>
      <w:i/>
      <w:iCs/>
      <w:sz w:val="18"/>
      <w:szCs w:val="18"/>
    </w:rPr>
  </w:style>
  <w:style w:type="character" w:styleId="RAN4proposalChar0" w:customStyle="1">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styleId="RAN4observation0" w:customStyle="1">
    <w:name w:val="RAN4 observation"/>
    <w:basedOn w:val="RAN4Observation"/>
    <w:next w:val="Normal"/>
    <w:link w:val="RAN4observationChar0"/>
    <w:qFormat/>
    <w:rsid w:val="002B4922"/>
    <w:pPr>
      <w:ind w:left="0" w:firstLine="0"/>
    </w:pPr>
  </w:style>
  <w:style w:type="character" w:styleId="RAN4observationChar0" w:customStyle="1">
    <w:name w:val="RAN4 observation Char"/>
    <w:basedOn w:val="RAN4ObservationChar"/>
    <w:link w:val="RAN4observation0"/>
    <w:rsid w:val="002B4922"/>
    <w:rPr>
      <w:rFonts w:ascii="Times New Roman" w:hAnsi="Times New Roman" w:eastAsia="Calibri" w:cs="Times New Roman"/>
      <w:sz w:val="20"/>
      <w:szCs w:val="20"/>
    </w:rPr>
  </w:style>
  <w:style w:type="paragraph" w:styleId="RAN4H3" w:customStyle="1">
    <w:name w:val="RAN4 H3"/>
    <w:basedOn w:val="Normal"/>
    <w:link w:val="RAN4H3Char"/>
    <w:qFormat/>
    <w:rsid w:val="00A37002"/>
    <w:pPr>
      <w:numPr>
        <w:ilvl w:val="2"/>
        <w:numId w:val="4"/>
      </w:numPr>
      <w:ind w:left="505" w:hanging="505"/>
    </w:pPr>
    <w:rPr>
      <w:rFonts w:ascii="Arial" w:hAnsi="Arial" w:cs="Arial"/>
      <w:sz w:val="24"/>
    </w:rPr>
  </w:style>
  <w:style w:type="character" w:styleId="RAN4H3Char" w:customStyle="1">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40221"/>
    <w:rPr>
      <w:rFonts w:ascii="Segoe UI" w:hAnsi="Segoe UI" w:cs="Segoe UI"/>
      <w:sz w:val="18"/>
      <w:szCs w:val="18"/>
    </w:rPr>
  </w:style>
  <w:style w:type="character" w:styleId="Heading3Char" w:customStyle="1">
    <w:name w:val="Heading 3 Char"/>
    <w:basedOn w:val="DefaultParagraphFont"/>
    <w:link w:val="Heading3"/>
    <w:uiPriority w:val="9"/>
    <w:rsid w:val="000239F5"/>
    <w:rPr>
      <w:rFonts w:asciiTheme="majorHAnsi" w:hAnsiTheme="majorHAnsi" w:eastAsiaTheme="majorEastAsia"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bCs/>
        <w:color w:val="FFFFFF" w:themeColor="background1"/>
      </w:rPr>
      <w:tblPr/>
      <w:tcPr>
        <w:shd w:val="clear" w:color="auto" w:fill="4472C4" w:themeFill="accent1"/>
      </w:tcPr>
    </w:tblStylePr>
    <w:tblStylePr w:type="lastRow">
      <w:rPr>
        <w:b/>
        <w:bCs/>
      </w:rPr>
      <w:tblPr/>
      <w:tcPr>
        <w:tcBorders>
          <w:top w:val="double" w:color="4472C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472C4" w:themeColor="accent1" w:sz="4" w:space="0"/>
          <w:right w:val="single" w:color="4472C4" w:themeColor="accent1" w:sz="4" w:space="0"/>
        </w:tcBorders>
      </w:tcPr>
    </w:tblStylePr>
    <w:tblStylePr w:type="band1Horz">
      <w:tblPr/>
      <w:tcPr>
        <w:tcBorders>
          <w:top w:val="single" w:color="4472C4" w:themeColor="accent1" w:sz="4" w:space="0"/>
          <w:bottom w:val="single" w:color="4472C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themeColor="accent1" w:sz="4" w:space="0"/>
          <w:left w:val="nil"/>
        </w:tcBorders>
      </w:tcPr>
    </w:tblStylePr>
    <w:tblStylePr w:type="swCell">
      <w:tblPr/>
      <w:tcPr>
        <w:tcBorders>
          <w:top w:val="double" w:color="4472C4" w:themeColor="accent1" w:sz="4" w:space="0"/>
          <w:right w:val="nil"/>
        </w:tcBorders>
      </w:tcPr>
    </w:tblStylePr>
  </w:style>
  <w:style w:type="paragraph" w:styleId="Numbering" w:customStyle="1">
    <w:name w:val="Numbering"/>
    <w:basedOn w:val="ListParagraph"/>
    <w:autoRedefine/>
    <w:qFormat/>
    <w:rsid w:val="00EA398C"/>
    <w:pPr>
      <w:shd w:val="clear" w:color="auto" w:fill="FFFFFF"/>
      <w:spacing w:before="240" w:after="240" w:line="240" w:lineRule="auto"/>
    </w:pPr>
    <w:rPr>
      <w:rFonts w:cs="Times New Roman"/>
      <w:szCs w:val="20"/>
    </w:rPr>
  </w:style>
  <w:style w:type="character" w:styleId="UnresolvedMention">
    <w:name w:val="Unresolved Mention"/>
    <w:basedOn w:val="DefaultParagraphFont"/>
    <w:uiPriority w:val="99"/>
    <w:unhideWhenUsed/>
    <w:rsid w:val="00FE305C"/>
    <w:rPr>
      <w:color w:val="605E5C"/>
      <w:shd w:val="clear" w:color="auto" w:fill="E1DFDD"/>
    </w:rPr>
  </w:style>
  <w:style w:type="paragraph" w:styleId="sectionsubheader" w:customStyle="1">
    <w:name w:val="section_subheader"/>
    <w:next w:val="Normal"/>
    <w:link w:val="sectionsubheaderChar"/>
    <w:qFormat/>
    <w:rsid w:val="00E55751"/>
    <w:rPr>
      <w:rFonts w:ascii="Times New Roman" w:hAnsi="Times New Roman" w:eastAsia="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styleId="sectionsubheaderChar" w:customStyle="1">
    <w:name w:val="section_subheader Char"/>
    <w:basedOn w:val="DefaultParagraphFont"/>
    <w:link w:val="sectionsubheader"/>
    <w:rsid w:val="00E55751"/>
    <w:rPr>
      <w:rFonts w:ascii="Times New Roman" w:hAnsi="Times New Roman" w:eastAsia="Times New Roman" w:cs="Times New Roman"/>
      <w:i/>
      <w:iCs/>
      <w:sz w:val="20"/>
      <w:szCs w:val="20"/>
      <w:u w:val="single"/>
      <w:lang w:val="en-GB"/>
    </w:rPr>
  </w:style>
  <w:style w:type="character" w:styleId="QuoteChar" w:customStyle="1">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eastAsiaTheme="minorEastAsia"/>
      <w:color w:val="5A5A5A" w:themeColor="text1" w:themeTint="A5"/>
      <w:spacing w:val="15"/>
      <w:sz w:val="22"/>
    </w:rPr>
  </w:style>
  <w:style w:type="character" w:styleId="SubtitleChar" w:customStyle="1">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styleId="CommentTextChar" w:customStyle="1">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styleId="CommentSubjectChar" w:customStyle="1">
    <w:name w:val="Comment Subject Char"/>
    <w:basedOn w:val="CommentTextChar"/>
    <w:link w:val="CommentSubject"/>
    <w:uiPriority w:val="99"/>
    <w:semiHidden/>
    <w:rsid w:val="00542D23"/>
    <w:rPr>
      <w:rFonts w:ascii="Times New Roman" w:hAnsi="Times New Roman"/>
      <w:b/>
      <w:bCs/>
      <w:sz w:val="20"/>
      <w:szCs w:val="20"/>
    </w:rPr>
  </w:style>
  <w:style w:type="character" w:styleId="Heading4Char" w:customStyle="1">
    <w:name w:val="Heading 4 Char"/>
    <w:basedOn w:val="DefaultParagraphFont"/>
    <w:link w:val="Heading4"/>
    <w:uiPriority w:val="9"/>
    <w:semiHidden/>
    <w:rsid w:val="00592A86"/>
    <w:rPr>
      <w:rFonts w:asciiTheme="majorHAnsi" w:hAnsiTheme="majorHAnsi" w:eastAsiaTheme="majorEastAsia"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styleId="Heading5Char" w:customStyle="1">
    <w:name w:val="Heading 5 Char"/>
    <w:basedOn w:val="DefaultParagraphFont"/>
    <w:link w:val="Heading5"/>
    <w:uiPriority w:val="9"/>
    <w:semiHidden/>
    <w:rsid w:val="00592A86"/>
    <w:rPr>
      <w:rFonts w:asciiTheme="majorHAnsi" w:hAnsiTheme="majorHAnsi" w:eastAsiaTheme="majorEastAsia" w:cstheme="majorBidi"/>
      <w:color w:val="2F5496" w:themeColor="accent1" w:themeShade="BF"/>
      <w:sz w:val="20"/>
    </w:rPr>
  </w:style>
  <w:style w:type="character" w:styleId="Heading9Char" w:customStyle="1">
    <w:name w:val="Heading 9 Char"/>
    <w:basedOn w:val="DefaultParagraphFont"/>
    <w:link w:val="Heading9"/>
    <w:uiPriority w:val="9"/>
    <w:semiHidden/>
    <w:rsid w:val="00592A86"/>
    <w:rPr>
      <w:rFonts w:asciiTheme="majorHAnsi" w:hAnsiTheme="majorHAnsi" w:eastAsiaTheme="majorEastAsia" w:cstheme="majorBidi"/>
      <w:i/>
      <w:iCs/>
      <w:color w:val="272727" w:themeColor="text1" w:themeTint="D8"/>
      <w:sz w:val="21"/>
      <w:szCs w:val="21"/>
    </w:rPr>
  </w:style>
  <w:style w:type="character" w:styleId="Heading8Char" w:customStyle="1">
    <w:name w:val="Heading 8 Char"/>
    <w:basedOn w:val="DefaultParagraphFont"/>
    <w:link w:val="Heading8"/>
    <w:uiPriority w:val="9"/>
    <w:semiHidden/>
    <w:rsid w:val="00592A86"/>
    <w:rPr>
      <w:rFonts w:asciiTheme="majorHAnsi" w:hAnsiTheme="majorHAnsi" w:eastAsiaTheme="majorEastAsia" w:cstheme="majorBidi"/>
      <w:color w:val="272727" w:themeColor="text1" w:themeTint="D8"/>
      <w:sz w:val="21"/>
      <w:szCs w:val="21"/>
    </w:rPr>
  </w:style>
  <w:style w:type="character" w:styleId="Heading7Char" w:customStyle="1">
    <w:name w:val="Heading 7 Char"/>
    <w:basedOn w:val="DefaultParagraphFont"/>
    <w:link w:val="Heading7"/>
    <w:uiPriority w:val="9"/>
    <w:semiHidden/>
    <w:rsid w:val="00592A86"/>
    <w:rPr>
      <w:rFonts w:asciiTheme="majorHAnsi" w:hAnsiTheme="majorHAnsi" w:eastAsiaTheme="majorEastAsia" w:cstheme="majorBidi"/>
      <w:i/>
      <w:iCs/>
      <w:color w:val="1F3763" w:themeColor="accent1" w:themeShade="7F"/>
      <w:sz w:val="20"/>
    </w:rPr>
  </w:style>
  <w:style w:type="character" w:styleId="Heading6Char" w:customStyle="1">
    <w:name w:val="Heading 6 Char"/>
    <w:basedOn w:val="DefaultParagraphFont"/>
    <w:link w:val="Heading6"/>
    <w:uiPriority w:val="9"/>
    <w:semiHidden/>
    <w:rsid w:val="00592A86"/>
    <w:rPr>
      <w:rFonts w:asciiTheme="majorHAnsi" w:hAnsiTheme="majorHAnsi" w:eastAsiaTheme="majorEastAsia" w:cstheme="majorBidi"/>
      <w:color w:val="1F3763" w:themeColor="accent1" w:themeShade="7F"/>
      <w:sz w:val="20"/>
    </w:rPr>
  </w:style>
  <w:style w:type="table" w:styleId="Style1" w:customStyle="1">
    <w:name w:val="Style1"/>
    <w:basedOn w:val="TableNormal"/>
    <w:uiPriority w:val="99"/>
    <w:rsid w:val="004E7AD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D91005"/>
    <w:pPr>
      <w:tabs>
        <w:tab w:val="right" w:leader="dot" w:pos="9617"/>
      </w:tabs>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nhideWhenUsed/>
    <w:rsid w:val="00B75F62"/>
    <w:pPr>
      <w:tabs>
        <w:tab w:val="center" w:pos="4513"/>
        <w:tab w:val="right" w:pos="9026"/>
      </w:tabs>
      <w:spacing w:after="0" w:line="240" w:lineRule="auto"/>
    </w:pPr>
  </w:style>
  <w:style w:type="character" w:styleId="HeaderChar" w:customStyle="1">
    <w:name w:val="Header Char"/>
    <w:basedOn w:val="DefaultParagraphFont"/>
    <w:link w:val="Header"/>
    <w:rsid w:val="00B75F62"/>
    <w:rPr>
      <w:rFonts w:ascii="Times New Roman" w:hAnsi="Times New Roman"/>
      <w:sz w:val="20"/>
    </w:rPr>
  </w:style>
  <w:style w:type="paragraph" w:styleId="Footer">
    <w:name w:val="footer"/>
    <w:basedOn w:val="Normal"/>
    <w:link w:val="FooterChar"/>
    <w:uiPriority w:val="99"/>
    <w:unhideWhenUsed/>
    <w:rsid w:val="00B75F62"/>
    <w:pPr>
      <w:tabs>
        <w:tab w:val="center" w:pos="4513"/>
        <w:tab w:val="right" w:pos="9026"/>
      </w:tabs>
      <w:spacing w:after="0" w:line="240" w:lineRule="auto"/>
    </w:pPr>
  </w:style>
  <w:style w:type="character" w:styleId="FooterChar" w:customStyle="1">
    <w:name w:val="Footer Char"/>
    <w:basedOn w:val="DefaultParagraphFont"/>
    <w:link w:val="Footer"/>
    <w:uiPriority w:val="99"/>
    <w:rsid w:val="00B75F62"/>
    <w:rPr>
      <w:rFonts w:ascii="Times New Roman" w:hAnsi="Times New Roman"/>
      <w:sz w:val="20"/>
    </w:rPr>
  </w:style>
  <w:style w:type="character" w:styleId="Mention">
    <w:name w:val="Mention"/>
    <w:basedOn w:val="DefaultParagraphFont"/>
    <w:uiPriority w:val="99"/>
    <w:unhideWhenUsed/>
    <w:rsid w:val="003C32FA"/>
    <w:rPr>
      <w:color w:val="2B579A"/>
      <w:shd w:val="clear" w:color="auto" w:fill="E1DFDD"/>
    </w:rPr>
  </w:style>
  <w:style w:type="paragraph" w:styleId="Revision">
    <w:name w:val="Revision"/>
    <w:hidden/>
    <w:uiPriority w:val="99"/>
    <w:semiHidden/>
    <w:rsid w:val="00A30C7F"/>
    <w:pPr>
      <w:spacing w:after="0" w:line="240" w:lineRule="auto"/>
    </w:pPr>
    <w:rPr>
      <w:rFonts w:ascii="Times New Roman" w:hAnsi="Times New Roman"/>
      <w:sz w:val="20"/>
    </w:rPr>
  </w:style>
  <w:style w:type="paragraph" w:styleId="paragraph" w:customStyle="1">
    <w:name w:val="paragraph"/>
    <w:basedOn w:val="Normal"/>
    <w:rsid w:val="007F6859"/>
    <w:pPr>
      <w:spacing w:before="100" w:beforeAutospacing="1" w:after="100" w:afterAutospacing="1" w:line="240" w:lineRule="auto"/>
    </w:pPr>
    <w:rPr>
      <w:rFonts w:eastAsia="Times New Roman" w:cs="Times New Roman"/>
      <w:sz w:val="24"/>
      <w:szCs w:val="24"/>
      <w:lang w:eastAsia="zh-CN"/>
    </w:rPr>
  </w:style>
  <w:style w:type="character" w:styleId="normaltextrun" w:customStyle="1">
    <w:name w:val="normaltextrun"/>
    <w:basedOn w:val="DefaultParagraphFont"/>
    <w:rsid w:val="007F6859"/>
  </w:style>
  <w:style w:type="character" w:styleId="eop" w:customStyle="1">
    <w:name w:val="eop"/>
    <w:basedOn w:val="DefaultParagraphFont"/>
    <w:rsid w:val="007F6859"/>
  </w:style>
  <w:style w:type="character" w:styleId="B1Char" w:customStyle="1">
    <w:name w:val="B1 Char"/>
    <w:link w:val="B1"/>
    <w:qFormat/>
    <w:locked/>
    <w:rsid w:val="0084418B"/>
    <w:rPr>
      <w:kern w:val="2"/>
      <w14:ligatures w14:val="standardContextual"/>
    </w:rPr>
  </w:style>
  <w:style w:type="paragraph" w:styleId="B1" w:customStyle="1">
    <w:name w:val="B1"/>
    <w:basedOn w:val="List"/>
    <w:link w:val="B1Char"/>
    <w:qFormat/>
    <w:rsid w:val="0084418B"/>
    <w:pPr>
      <w:spacing w:line="256" w:lineRule="auto"/>
      <w:ind w:left="568" w:hanging="284"/>
      <w:contextualSpacing w:val="0"/>
      <w:jc w:val="left"/>
    </w:pPr>
    <w:rPr>
      <w:rFonts w:asciiTheme="minorHAnsi" w:hAnsiTheme="minorHAnsi"/>
      <w:kern w:val="2"/>
      <w:sz w:val="22"/>
      <w14:ligatures w14:val="standardContextual"/>
    </w:rPr>
  </w:style>
  <w:style w:type="paragraph" w:styleId="List">
    <w:name w:val="List"/>
    <w:basedOn w:val="Normal"/>
    <w:uiPriority w:val="99"/>
    <w:semiHidden/>
    <w:unhideWhenUsed/>
    <w:rsid w:val="0084418B"/>
    <w:pPr>
      <w:ind w:left="283" w:hanging="283"/>
      <w:contextualSpacing/>
    </w:pPr>
  </w:style>
  <w:style w:type="character" w:styleId="cf01" w:customStyle="1">
    <w:name w:val="cf01"/>
    <w:basedOn w:val="DefaultParagraphFont"/>
    <w:rsid w:val="00774DBE"/>
    <w:rPr>
      <w:rFonts w:hint="default" w:ascii="Segoe UI" w:hAnsi="Segoe UI" w:cs="Segoe UI"/>
      <w:sz w:val="18"/>
      <w:szCs w:val="18"/>
    </w:rPr>
  </w:style>
  <w:style w:type="paragraph" w:styleId="pf1" w:customStyle="1">
    <w:name w:val="pf1"/>
    <w:basedOn w:val="Normal"/>
    <w:rsid w:val="001D3627"/>
    <w:pPr>
      <w:spacing w:before="100" w:beforeAutospacing="1" w:after="100" w:afterAutospacing="1" w:line="240" w:lineRule="auto"/>
      <w:ind w:left="160"/>
      <w:jc w:val="left"/>
    </w:pPr>
    <w:rPr>
      <w:rFonts w:eastAsia="Times New Roman" w:cs="Times New Roman"/>
      <w:sz w:val="24"/>
      <w:szCs w:val="24"/>
    </w:rPr>
  </w:style>
  <w:style w:type="paragraph" w:styleId="pf0" w:customStyle="1">
    <w:name w:val="pf0"/>
    <w:basedOn w:val="Normal"/>
    <w:rsid w:val="001D3627"/>
    <w:pPr>
      <w:spacing w:before="100" w:beforeAutospacing="1" w:after="100" w:afterAutospacing="1" w:line="240" w:lineRule="auto"/>
      <w:jc w:val="left"/>
    </w:pPr>
    <w:rPr>
      <w:rFonts w:eastAsia="Times New Roman" w:cs="Times New Roman"/>
      <w:sz w:val="24"/>
      <w:szCs w:val="24"/>
    </w:rPr>
  </w:style>
  <w:style w:type="character" w:styleId="cf11" w:customStyle="1">
    <w:name w:val="cf11"/>
    <w:basedOn w:val="DefaultParagraphFont"/>
    <w:rsid w:val="001D3627"/>
    <w:rPr>
      <w:rFonts w:hint="default" w:ascii="Segoe UI" w:hAnsi="Segoe UI" w:cs="Segoe UI"/>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9387">
      <w:bodyDiv w:val="1"/>
      <w:marLeft w:val="0"/>
      <w:marRight w:val="0"/>
      <w:marTop w:val="0"/>
      <w:marBottom w:val="0"/>
      <w:divBdr>
        <w:top w:val="none" w:sz="0" w:space="0" w:color="auto"/>
        <w:left w:val="none" w:sz="0" w:space="0" w:color="auto"/>
        <w:bottom w:val="none" w:sz="0" w:space="0" w:color="auto"/>
        <w:right w:val="none" w:sz="0" w:space="0" w:color="auto"/>
      </w:divBdr>
    </w:div>
    <w:div w:id="90054118">
      <w:bodyDiv w:val="1"/>
      <w:marLeft w:val="0"/>
      <w:marRight w:val="0"/>
      <w:marTop w:val="0"/>
      <w:marBottom w:val="0"/>
      <w:divBdr>
        <w:top w:val="none" w:sz="0" w:space="0" w:color="auto"/>
        <w:left w:val="none" w:sz="0" w:space="0" w:color="auto"/>
        <w:bottom w:val="none" w:sz="0" w:space="0" w:color="auto"/>
        <w:right w:val="none" w:sz="0" w:space="0" w:color="auto"/>
      </w:divBdr>
    </w:div>
    <w:div w:id="273559638">
      <w:bodyDiv w:val="1"/>
      <w:marLeft w:val="0"/>
      <w:marRight w:val="0"/>
      <w:marTop w:val="0"/>
      <w:marBottom w:val="0"/>
      <w:divBdr>
        <w:top w:val="none" w:sz="0" w:space="0" w:color="auto"/>
        <w:left w:val="none" w:sz="0" w:space="0" w:color="auto"/>
        <w:bottom w:val="none" w:sz="0" w:space="0" w:color="auto"/>
        <w:right w:val="none" w:sz="0" w:space="0" w:color="auto"/>
      </w:divBdr>
    </w:div>
    <w:div w:id="316342992">
      <w:bodyDiv w:val="1"/>
      <w:marLeft w:val="0"/>
      <w:marRight w:val="0"/>
      <w:marTop w:val="0"/>
      <w:marBottom w:val="0"/>
      <w:divBdr>
        <w:top w:val="none" w:sz="0" w:space="0" w:color="auto"/>
        <w:left w:val="none" w:sz="0" w:space="0" w:color="auto"/>
        <w:bottom w:val="none" w:sz="0" w:space="0" w:color="auto"/>
        <w:right w:val="none" w:sz="0" w:space="0" w:color="auto"/>
      </w:divBdr>
    </w:div>
    <w:div w:id="367802145">
      <w:bodyDiv w:val="1"/>
      <w:marLeft w:val="0"/>
      <w:marRight w:val="0"/>
      <w:marTop w:val="0"/>
      <w:marBottom w:val="0"/>
      <w:divBdr>
        <w:top w:val="none" w:sz="0" w:space="0" w:color="auto"/>
        <w:left w:val="none" w:sz="0" w:space="0" w:color="auto"/>
        <w:bottom w:val="none" w:sz="0" w:space="0" w:color="auto"/>
        <w:right w:val="none" w:sz="0" w:space="0" w:color="auto"/>
      </w:divBdr>
    </w:div>
    <w:div w:id="381759826">
      <w:bodyDiv w:val="1"/>
      <w:marLeft w:val="0"/>
      <w:marRight w:val="0"/>
      <w:marTop w:val="0"/>
      <w:marBottom w:val="0"/>
      <w:divBdr>
        <w:top w:val="none" w:sz="0" w:space="0" w:color="auto"/>
        <w:left w:val="none" w:sz="0" w:space="0" w:color="auto"/>
        <w:bottom w:val="none" w:sz="0" w:space="0" w:color="auto"/>
        <w:right w:val="none" w:sz="0" w:space="0" w:color="auto"/>
      </w:divBdr>
      <w:divsChild>
        <w:div w:id="99105496">
          <w:marLeft w:val="0"/>
          <w:marRight w:val="0"/>
          <w:marTop w:val="0"/>
          <w:marBottom w:val="0"/>
          <w:divBdr>
            <w:top w:val="none" w:sz="0" w:space="0" w:color="auto"/>
            <w:left w:val="none" w:sz="0" w:space="0" w:color="auto"/>
            <w:bottom w:val="none" w:sz="0" w:space="0" w:color="auto"/>
            <w:right w:val="none" w:sz="0" w:space="0" w:color="auto"/>
          </w:divBdr>
        </w:div>
        <w:div w:id="751632727">
          <w:marLeft w:val="0"/>
          <w:marRight w:val="0"/>
          <w:marTop w:val="0"/>
          <w:marBottom w:val="0"/>
          <w:divBdr>
            <w:top w:val="none" w:sz="0" w:space="0" w:color="auto"/>
            <w:left w:val="none" w:sz="0" w:space="0" w:color="auto"/>
            <w:bottom w:val="none" w:sz="0" w:space="0" w:color="auto"/>
            <w:right w:val="none" w:sz="0" w:space="0" w:color="auto"/>
          </w:divBdr>
        </w:div>
        <w:div w:id="1203204540">
          <w:marLeft w:val="0"/>
          <w:marRight w:val="0"/>
          <w:marTop w:val="0"/>
          <w:marBottom w:val="0"/>
          <w:divBdr>
            <w:top w:val="none" w:sz="0" w:space="0" w:color="auto"/>
            <w:left w:val="none" w:sz="0" w:space="0" w:color="auto"/>
            <w:bottom w:val="none" w:sz="0" w:space="0" w:color="auto"/>
            <w:right w:val="none" w:sz="0" w:space="0" w:color="auto"/>
          </w:divBdr>
        </w:div>
        <w:div w:id="1732535237">
          <w:marLeft w:val="0"/>
          <w:marRight w:val="0"/>
          <w:marTop w:val="0"/>
          <w:marBottom w:val="0"/>
          <w:divBdr>
            <w:top w:val="none" w:sz="0" w:space="0" w:color="auto"/>
            <w:left w:val="none" w:sz="0" w:space="0" w:color="auto"/>
            <w:bottom w:val="none" w:sz="0" w:space="0" w:color="auto"/>
            <w:right w:val="none" w:sz="0" w:space="0" w:color="auto"/>
          </w:divBdr>
        </w:div>
      </w:divsChild>
    </w:div>
    <w:div w:id="392049844">
      <w:bodyDiv w:val="1"/>
      <w:marLeft w:val="0"/>
      <w:marRight w:val="0"/>
      <w:marTop w:val="0"/>
      <w:marBottom w:val="0"/>
      <w:divBdr>
        <w:top w:val="none" w:sz="0" w:space="0" w:color="auto"/>
        <w:left w:val="none" w:sz="0" w:space="0" w:color="auto"/>
        <w:bottom w:val="none" w:sz="0" w:space="0" w:color="auto"/>
        <w:right w:val="none" w:sz="0" w:space="0" w:color="auto"/>
      </w:divBdr>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515731787">
      <w:bodyDiv w:val="1"/>
      <w:marLeft w:val="0"/>
      <w:marRight w:val="0"/>
      <w:marTop w:val="0"/>
      <w:marBottom w:val="0"/>
      <w:divBdr>
        <w:top w:val="none" w:sz="0" w:space="0" w:color="auto"/>
        <w:left w:val="none" w:sz="0" w:space="0" w:color="auto"/>
        <w:bottom w:val="none" w:sz="0" w:space="0" w:color="auto"/>
        <w:right w:val="none" w:sz="0" w:space="0" w:color="auto"/>
      </w:divBdr>
    </w:div>
    <w:div w:id="515770085">
      <w:bodyDiv w:val="1"/>
      <w:marLeft w:val="0"/>
      <w:marRight w:val="0"/>
      <w:marTop w:val="0"/>
      <w:marBottom w:val="0"/>
      <w:divBdr>
        <w:top w:val="none" w:sz="0" w:space="0" w:color="auto"/>
        <w:left w:val="none" w:sz="0" w:space="0" w:color="auto"/>
        <w:bottom w:val="none" w:sz="0" w:space="0" w:color="auto"/>
        <w:right w:val="none" w:sz="0" w:space="0" w:color="auto"/>
      </w:divBdr>
    </w:div>
    <w:div w:id="524175670">
      <w:bodyDiv w:val="1"/>
      <w:marLeft w:val="0"/>
      <w:marRight w:val="0"/>
      <w:marTop w:val="0"/>
      <w:marBottom w:val="0"/>
      <w:divBdr>
        <w:top w:val="none" w:sz="0" w:space="0" w:color="auto"/>
        <w:left w:val="none" w:sz="0" w:space="0" w:color="auto"/>
        <w:bottom w:val="none" w:sz="0" w:space="0" w:color="auto"/>
        <w:right w:val="none" w:sz="0" w:space="0" w:color="auto"/>
      </w:divBdr>
    </w:div>
    <w:div w:id="603532973">
      <w:bodyDiv w:val="1"/>
      <w:marLeft w:val="0"/>
      <w:marRight w:val="0"/>
      <w:marTop w:val="0"/>
      <w:marBottom w:val="0"/>
      <w:divBdr>
        <w:top w:val="none" w:sz="0" w:space="0" w:color="auto"/>
        <w:left w:val="none" w:sz="0" w:space="0" w:color="auto"/>
        <w:bottom w:val="none" w:sz="0" w:space="0" w:color="auto"/>
        <w:right w:val="none" w:sz="0" w:space="0" w:color="auto"/>
      </w:divBdr>
    </w:div>
    <w:div w:id="617028614">
      <w:bodyDiv w:val="1"/>
      <w:marLeft w:val="0"/>
      <w:marRight w:val="0"/>
      <w:marTop w:val="0"/>
      <w:marBottom w:val="0"/>
      <w:divBdr>
        <w:top w:val="none" w:sz="0" w:space="0" w:color="auto"/>
        <w:left w:val="none" w:sz="0" w:space="0" w:color="auto"/>
        <w:bottom w:val="none" w:sz="0" w:space="0" w:color="auto"/>
        <w:right w:val="none" w:sz="0" w:space="0" w:color="auto"/>
      </w:divBdr>
    </w:div>
    <w:div w:id="705564335">
      <w:bodyDiv w:val="1"/>
      <w:marLeft w:val="0"/>
      <w:marRight w:val="0"/>
      <w:marTop w:val="0"/>
      <w:marBottom w:val="0"/>
      <w:divBdr>
        <w:top w:val="none" w:sz="0" w:space="0" w:color="auto"/>
        <w:left w:val="none" w:sz="0" w:space="0" w:color="auto"/>
        <w:bottom w:val="none" w:sz="0" w:space="0" w:color="auto"/>
        <w:right w:val="none" w:sz="0" w:space="0" w:color="auto"/>
      </w:divBdr>
    </w:div>
    <w:div w:id="727193261">
      <w:bodyDiv w:val="1"/>
      <w:marLeft w:val="0"/>
      <w:marRight w:val="0"/>
      <w:marTop w:val="0"/>
      <w:marBottom w:val="0"/>
      <w:divBdr>
        <w:top w:val="none" w:sz="0" w:space="0" w:color="auto"/>
        <w:left w:val="none" w:sz="0" w:space="0" w:color="auto"/>
        <w:bottom w:val="none" w:sz="0" w:space="0" w:color="auto"/>
        <w:right w:val="none" w:sz="0" w:space="0" w:color="auto"/>
      </w:divBdr>
    </w:div>
    <w:div w:id="763651855">
      <w:bodyDiv w:val="1"/>
      <w:marLeft w:val="0"/>
      <w:marRight w:val="0"/>
      <w:marTop w:val="0"/>
      <w:marBottom w:val="0"/>
      <w:divBdr>
        <w:top w:val="none" w:sz="0" w:space="0" w:color="auto"/>
        <w:left w:val="none" w:sz="0" w:space="0" w:color="auto"/>
        <w:bottom w:val="none" w:sz="0" w:space="0" w:color="auto"/>
        <w:right w:val="none" w:sz="0" w:space="0" w:color="auto"/>
      </w:divBdr>
    </w:div>
    <w:div w:id="874344745">
      <w:bodyDiv w:val="1"/>
      <w:marLeft w:val="0"/>
      <w:marRight w:val="0"/>
      <w:marTop w:val="0"/>
      <w:marBottom w:val="0"/>
      <w:divBdr>
        <w:top w:val="none" w:sz="0" w:space="0" w:color="auto"/>
        <w:left w:val="none" w:sz="0" w:space="0" w:color="auto"/>
        <w:bottom w:val="none" w:sz="0" w:space="0" w:color="auto"/>
        <w:right w:val="none" w:sz="0" w:space="0" w:color="auto"/>
      </w:divBdr>
    </w:div>
    <w:div w:id="883907154">
      <w:bodyDiv w:val="1"/>
      <w:marLeft w:val="0"/>
      <w:marRight w:val="0"/>
      <w:marTop w:val="0"/>
      <w:marBottom w:val="0"/>
      <w:divBdr>
        <w:top w:val="none" w:sz="0" w:space="0" w:color="auto"/>
        <w:left w:val="none" w:sz="0" w:space="0" w:color="auto"/>
        <w:bottom w:val="none" w:sz="0" w:space="0" w:color="auto"/>
        <w:right w:val="none" w:sz="0" w:space="0" w:color="auto"/>
      </w:divBdr>
    </w:div>
    <w:div w:id="1011101909">
      <w:bodyDiv w:val="1"/>
      <w:marLeft w:val="0"/>
      <w:marRight w:val="0"/>
      <w:marTop w:val="0"/>
      <w:marBottom w:val="0"/>
      <w:divBdr>
        <w:top w:val="none" w:sz="0" w:space="0" w:color="auto"/>
        <w:left w:val="none" w:sz="0" w:space="0" w:color="auto"/>
        <w:bottom w:val="none" w:sz="0" w:space="0" w:color="auto"/>
        <w:right w:val="none" w:sz="0" w:space="0" w:color="auto"/>
      </w:divBdr>
      <w:divsChild>
        <w:div w:id="282618177">
          <w:marLeft w:val="0"/>
          <w:marRight w:val="0"/>
          <w:marTop w:val="0"/>
          <w:marBottom w:val="0"/>
          <w:divBdr>
            <w:top w:val="none" w:sz="0" w:space="0" w:color="auto"/>
            <w:left w:val="none" w:sz="0" w:space="0" w:color="auto"/>
            <w:bottom w:val="none" w:sz="0" w:space="0" w:color="auto"/>
            <w:right w:val="none" w:sz="0" w:space="0" w:color="auto"/>
          </w:divBdr>
        </w:div>
        <w:div w:id="908032758">
          <w:marLeft w:val="0"/>
          <w:marRight w:val="0"/>
          <w:marTop w:val="0"/>
          <w:marBottom w:val="0"/>
          <w:divBdr>
            <w:top w:val="none" w:sz="0" w:space="0" w:color="auto"/>
            <w:left w:val="none" w:sz="0" w:space="0" w:color="auto"/>
            <w:bottom w:val="none" w:sz="0" w:space="0" w:color="auto"/>
            <w:right w:val="none" w:sz="0" w:space="0" w:color="auto"/>
          </w:divBdr>
        </w:div>
        <w:div w:id="1077172135">
          <w:marLeft w:val="0"/>
          <w:marRight w:val="0"/>
          <w:marTop w:val="0"/>
          <w:marBottom w:val="0"/>
          <w:divBdr>
            <w:top w:val="none" w:sz="0" w:space="0" w:color="auto"/>
            <w:left w:val="none" w:sz="0" w:space="0" w:color="auto"/>
            <w:bottom w:val="none" w:sz="0" w:space="0" w:color="auto"/>
            <w:right w:val="none" w:sz="0" w:space="0" w:color="auto"/>
          </w:divBdr>
        </w:div>
        <w:div w:id="1925606431">
          <w:marLeft w:val="0"/>
          <w:marRight w:val="0"/>
          <w:marTop w:val="0"/>
          <w:marBottom w:val="0"/>
          <w:divBdr>
            <w:top w:val="none" w:sz="0" w:space="0" w:color="auto"/>
            <w:left w:val="none" w:sz="0" w:space="0" w:color="auto"/>
            <w:bottom w:val="none" w:sz="0" w:space="0" w:color="auto"/>
            <w:right w:val="none" w:sz="0" w:space="0" w:color="auto"/>
          </w:divBdr>
        </w:div>
      </w:divsChild>
    </w:div>
    <w:div w:id="1178229111">
      <w:bodyDiv w:val="1"/>
      <w:marLeft w:val="0"/>
      <w:marRight w:val="0"/>
      <w:marTop w:val="0"/>
      <w:marBottom w:val="0"/>
      <w:divBdr>
        <w:top w:val="none" w:sz="0" w:space="0" w:color="auto"/>
        <w:left w:val="none" w:sz="0" w:space="0" w:color="auto"/>
        <w:bottom w:val="none" w:sz="0" w:space="0" w:color="auto"/>
        <w:right w:val="none" w:sz="0" w:space="0" w:color="auto"/>
      </w:divBdr>
      <w:divsChild>
        <w:div w:id="440876364">
          <w:marLeft w:val="0"/>
          <w:marRight w:val="0"/>
          <w:marTop w:val="0"/>
          <w:marBottom w:val="0"/>
          <w:divBdr>
            <w:top w:val="none" w:sz="0" w:space="0" w:color="auto"/>
            <w:left w:val="none" w:sz="0" w:space="0" w:color="auto"/>
            <w:bottom w:val="none" w:sz="0" w:space="0" w:color="auto"/>
            <w:right w:val="none" w:sz="0" w:space="0" w:color="auto"/>
          </w:divBdr>
        </w:div>
        <w:div w:id="1052852934">
          <w:marLeft w:val="0"/>
          <w:marRight w:val="0"/>
          <w:marTop w:val="0"/>
          <w:marBottom w:val="0"/>
          <w:divBdr>
            <w:top w:val="none" w:sz="0" w:space="0" w:color="auto"/>
            <w:left w:val="none" w:sz="0" w:space="0" w:color="auto"/>
            <w:bottom w:val="none" w:sz="0" w:space="0" w:color="auto"/>
            <w:right w:val="none" w:sz="0" w:space="0" w:color="auto"/>
          </w:divBdr>
        </w:div>
      </w:divsChild>
    </w:div>
    <w:div w:id="1247685935">
      <w:bodyDiv w:val="1"/>
      <w:marLeft w:val="0"/>
      <w:marRight w:val="0"/>
      <w:marTop w:val="0"/>
      <w:marBottom w:val="0"/>
      <w:divBdr>
        <w:top w:val="none" w:sz="0" w:space="0" w:color="auto"/>
        <w:left w:val="none" w:sz="0" w:space="0" w:color="auto"/>
        <w:bottom w:val="none" w:sz="0" w:space="0" w:color="auto"/>
        <w:right w:val="none" w:sz="0" w:space="0" w:color="auto"/>
      </w:divBdr>
    </w:div>
    <w:div w:id="1461411187">
      <w:bodyDiv w:val="1"/>
      <w:marLeft w:val="0"/>
      <w:marRight w:val="0"/>
      <w:marTop w:val="0"/>
      <w:marBottom w:val="0"/>
      <w:divBdr>
        <w:top w:val="none" w:sz="0" w:space="0" w:color="auto"/>
        <w:left w:val="none" w:sz="0" w:space="0" w:color="auto"/>
        <w:bottom w:val="none" w:sz="0" w:space="0" w:color="auto"/>
        <w:right w:val="none" w:sz="0" w:space="0" w:color="auto"/>
      </w:divBdr>
      <w:divsChild>
        <w:div w:id="4480182">
          <w:marLeft w:val="0"/>
          <w:marRight w:val="0"/>
          <w:marTop w:val="0"/>
          <w:marBottom w:val="0"/>
          <w:divBdr>
            <w:top w:val="none" w:sz="0" w:space="0" w:color="auto"/>
            <w:left w:val="none" w:sz="0" w:space="0" w:color="auto"/>
            <w:bottom w:val="none" w:sz="0" w:space="0" w:color="auto"/>
            <w:right w:val="none" w:sz="0" w:space="0" w:color="auto"/>
          </w:divBdr>
        </w:div>
        <w:div w:id="178013058">
          <w:marLeft w:val="0"/>
          <w:marRight w:val="0"/>
          <w:marTop w:val="0"/>
          <w:marBottom w:val="0"/>
          <w:divBdr>
            <w:top w:val="none" w:sz="0" w:space="0" w:color="auto"/>
            <w:left w:val="none" w:sz="0" w:space="0" w:color="auto"/>
            <w:bottom w:val="none" w:sz="0" w:space="0" w:color="auto"/>
            <w:right w:val="none" w:sz="0" w:space="0" w:color="auto"/>
          </w:divBdr>
        </w:div>
        <w:div w:id="180247022">
          <w:marLeft w:val="0"/>
          <w:marRight w:val="0"/>
          <w:marTop w:val="0"/>
          <w:marBottom w:val="0"/>
          <w:divBdr>
            <w:top w:val="none" w:sz="0" w:space="0" w:color="auto"/>
            <w:left w:val="none" w:sz="0" w:space="0" w:color="auto"/>
            <w:bottom w:val="none" w:sz="0" w:space="0" w:color="auto"/>
            <w:right w:val="none" w:sz="0" w:space="0" w:color="auto"/>
          </w:divBdr>
        </w:div>
        <w:div w:id="200022473">
          <w:marLeft w:val="0"/>
          <w:marRight w:val="0"/>
          <w:marTop w:val="0"/>
          <w:marBottom w:val="0"/>
          <w:divBdr>
            <w:top w:val="none" w:sz="0" w:space="0" w:color="auto"/>
            <w:left w:val="none" w:sz="0" w:space="0" w:color="auto"/>
            <w:bottom w:val="none" w:sz="0" w:space="0" w:color="auto"/>
            <w:right w:val="none" w:sz="0" w:space="0" w:color="auto"/>
          </w:divBdr>
        </w:div>
        <w:div w:id="286860694">
          <w:marLeft w:val="0"/>
          <w:marRight w:val="0"/>
          <w:marTop w:val="0"/>
          <w:marBottom w:val="0"/>
          <w:divBdr>
            <w:top w:val="none" w:sz="0" w:space="0" w:color="auto"/>
            <w:left w:val="none" w:sz="0" w:space="0" w:color="auto"/>
            <w:bottom w:val="none" w:sz="0" w:space="0" w:color="auto"/>
            <w:right w:val="none" w:sz="0" w:space="0" w:color="auto"/>
          </w:divBdr>
        </w:div>
        <w:div w:id="460733588">
          <w:marLeft w:val="0"/>
          <w:marRight w:val="0"/>
          <w:marTop w:val="0"/>
          <w:marBottom w:val="0"/>
          <w:divBdr>
            <w:top w:val="none" w:sz="0" w:space="0" w:color="auto"/>
            <w:left w:val="none" w:sz="0" w:space="0" w:color="auto"/>
            <w:bottom w:val="none" w:sz="0" w:space="0" w:color="auto"/>
            <w:right w:val="none" w:sz="0" w:space="0" w:color="auto"/>
          </w:divBdr>
        </w:div>
        <w:div w:id="802695420">
          <w:marLeft w:val="0"/>
          <w:marRight w:val="0"/>
          <w:marTop w:val="0"/>
          <w:marBottom w:val="0"/>
          <w:divBdr>
            <w:top w:val="none" w:sz="0" w:space="0" w:color="auto"/>
            <w:left w:val="none" w:sz="0" w:space="0" w:color="auto"/>
            <w:bottom w:val="none" w:sz="0" w:space="0" w:color="auto"/>
            <w:right w:val="none" w:sz="0" w:space="0" w:color="auto"/>
          </w:divBdr>
        </w:div>
        <w:div w:id="1020739095">
          <w:marLeft w:val="0"/>
          <w:marRight w:val="0"/>
          <w:marTop w:val="0"/>
          <w:marBottom w:val="0"/>
          <w:divBdr>
            <w:top w:val="none" w:sz="0" w:space="0" w:color="auto"/>
            <w:left w:val="none" w:sz="0" w:space="0" w:color="auto"/>
            <w:bottom w:val="none" w:sz="0" w:space="0" w:color="auto"/>
            <w:right w:val="none" w:sz="0" w:space="0" w:color="auto"/>
          </w:divBdr>
        </w:div>
        <w:div w:id="1254240473">
          <w:marLeft w:val="0"/>
          <w:marRight w:val="0"/>
          <w:marTop w:val="0"/>
          <w:marBottom w:val="0"/>
          <w:divBdr>
            <w:top w:val="none" w:sz="0" w:space="0" w:color="auto"/>
            <w:left w:val="none" w:sz="0" w:space="0" w:color="auto"/>
            <w:bottom w:val="none" w:sz="0" w:space="0" w:color="auto"/>
            <w:right w:val="none" w:sz="0" w:space="0" w:color="auto"/>
          </w:divBdr>
        </w:div>
        <w:div w:id="1601599448">
          <w:marLeft w:val="0"/>
          <w:marRight w:val="0"/>
          <w:marTop w:val="0"/>
          <w:marBottom w:val="0"/>
          <w:divBdr>
            <w:top w:val="none" w:sz="0" w:space="0" w:color="auto"/>
            <w:left w:val="none" w:sz="0" w:space="0" w:color="auto"/>
            <w:bottom w:val="none" w:sz="0" w:space="0" w:color="auto"/>
            <w:right w:val="none" w:sz="0" w:space="0" w:color="auto"/>
          </w:divBdr>
        </w:div>
        <w:div w:id="1837500658">
          <w:marLeft w:val="0"/>
          <w:marRight w:val="0"/>
          <w:marTop w:val="0"/>
          <w:marBottom w:val="0"/>
          <w:divBdr>
            <w:top w:val="none" w:sz="0" w:space="0" w:color="auto"/>
            <w:left w:val="none" w:sz="0" w:space="0" w:color="auto"/>
            <w:bottom w:val="none" w:sz="0" w:space="0" w:color="auto"/>
            <w:right w:val="none" w:sz="0" w:space="0" w:color="auto"/>
          </w:divBdr>
        </w:div>
        <w:div w:id="1912232266">
          <w:marLeft w:val="0"/>
          <w:marRight w:val="0"/>
          <w:marTop w:val="0"/>
          <w:marBottom w:val="0"/>
          <w:divBdr>
            <w:top w:val="none" w:sz="0" w:space="0" w:color="auto"/>
            <w:left w:val="none" w:sz="0" w:space="0" w:color="auto"/>
            <w:bottom w:val="none" w:sz="0" w:space="0" w:color="auto"/>
            <w:right w:val="none" w:sz="0" w:space="0" w:color="auto"/>
          </w:divBdr>
        </w:div>
      </w:divsChild>
    </w:div>
    <w:div w:id="1477796363">
      <w:bodyDiv w:val="1"/>
      <w:marLeft w:val="0"/>
      <w:marRight w:val="0"/>
      <w:marTop w:val="0"/>
      <w:marBottom w:val="0"/>
      <w:divBdr>
        <w:top w:val="none" w:sz="0" w:space="0" w:color="auto"/>
        <w:left w:val="none" w:sz="0" w:space="0" w:color="auto"/>
        <w:bottom w:val="none" w:sz="0" w:space="0" w:color="auto"/>
        <w:right w:val="none" w:sz="0" w:space="0" w:color="auto"/>
      </w:divBdr>
    </w:div>
    <w:div w:id="1603413030">
      <w:bodyDiv w:val="1"/>
      <w:marLeft w:val="0"/>
      <w:marRight w:val="0"/>
      <w:marTop w:val="0"/>
      <w:marBottom w:val="0"/>
      <w:divBdr>
        <w:top w:val="none" w:sz="0" w:space="0" w:color="auto"/>
        <w:left w:val="none" w:sz="0" w:space="0" w:color="auto"/>
        <w:bottom w:val="none" w:sz="0" w:space="0" w:color="auto"/>
        <w:right w:val="none" w:sz="0" w:space="0" w:color="auto"/>
      </w:divBdr>
    </w:div>
    <w:div w:id="1741512200">
      <w:bodyDiv w:val="1"/>
      <w:marLeft w:val="0"/>
      <w:marRight w:val="0"/>
      <w:marTop w:val="0"/>
      <w:marBottom w:val="0"/>
      <w:divBdr>
        <w:top w:val="none" w:sz="0" w:space="0" w:color="auto"/>
        <w:left w:val="none" w:sz="0" w:space="0" w:color="auto"/>
        <w:bottom w:val="none" w:sz="0" w:space="0" w:color="auto"/>
        <w:right w:val="none" w:sz="0" w:space="0" w:color="auto"/>
      </w:divBdr>
    </w:div>
    <w:div w:id="1858426332">
      <w:bodyDiv w:val="1"/>
      <w:marLeft w:val="0"/>
      <w:marRight w:val="0"/>
      <w:marTop w:val="0"/>
      <w:marBottom w:val="0"/>
      <w:divBdr>
        <w:top w:val="none" w:sz="0" w:space="0" w:color="auto"/>
        <w:left w:val="none" w:sz="0" w:space="0" w:color="auto"/>
        <w:bottom w:val="none" w:sz="0" w:space="0" w:color="auto"/>
        <w:right w:val="none" w:sz="0" w:space="0" w:color="auto"/>
      </w:divBdr>
      <w:divsChild>
        <w:div w:id="18193749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5AIRPNAIUNRU-1328258698-27939</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https://nokia.sharepoint.com/sites/c5g/5gradio/_layouts/15/DocIdRedir.aspx?ID=5AIRPNAIUNRU-1328258698-27939</Url>
      <Description>5AIRPNAIUNRU-1328258698-27939</Description>
    </_dlc_DocIdUrl>
    <SharedWithUsers xmlns="3b34c8f0-1ef5-4d1e-bb66-517ce7fe7356">
      <UserInfo>
        <DisplayName>Kim Nielsen (Nokia)</DisplayName>
        <AccountId>17404</AccountId>
        <AccountType/>
      </UserInfo>
    </SharedWithUsers>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2155-3AE7-4C66-9671-2E35C1440603}">
  <ds:schemaRefs>
    <ds:schemaRef ds:uri="http://schemas.microsoft.com/sharepoint/v3/contenttype/forms"/>
  </ds:schemaRefs>
</ds:datastoreItem>
</file>

<file path=customXml/itemProps2.xml><?xml version="1.0" encoding="utf-8"?>
<ds:datastoreItem xmlns:ds="http://schemas.openxmlformats.org/officeDocument/2006/customXml" ds:itemID="{821C6A54-5DDC-4468-8A23-2A7A51608C15}">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2FBD9012-266E-4D50-BA1E-80BE63667C2A}">
  <ds:schemaRefs>
    <ds:schemaRef ds:uri="Microsoft.SharePoint.Taxonomy.ContentTypeSync"/>
  </ds:schemaRefs>
</ds:datastoreItem>
</file>

<file path=customXml/itemProps5.xml><?xml version="1.0" encoding="utf-8"?>
<ds:datastoreItem xmlns:ds="http://schemas.openxmlformats.org/officeDocument/2006/customXml" ds:itemID="{FB09A3DD-0ACE-41C7-BA71-65DA8A888416}">
  <ds:schemaRefs>
    <ds:schemaRef ds:uri="http://purl.org/dc/dcmitype/"/>
    <ds:schemaRef ds:uri="http://purl.org/dc/elements/1.1/"/>
    <ds:schemaRef ds:uri="0b6aed8e-0313-4d17-80ff-d0e5da4931c5"/>
    <ds:schemaRef ds:uri="http://purl.org/dc/terms/"/>
    <ds:schemaRef ds:uri="http://schemas.microsoft.com/office/2006/metadata/properties"/>
    <ds:schemaRef ds:uri="http://schemas.microsoft.com/office/infopath/2007/PartnerControls"/>
    <ds:schemaRef ds:uri="3b34c8f0-1ef5-4d1e-bb66-517ce7fe7356"/>
    <ds:schemaRef ds:uri="http://schemas.microsoft.com/office/2006/documentManagement/types"/>
    <ds:schemaRef ds:uri="http://schemas.openxmlformats.org/package/2006/metadata/core-properties"/>
    <ds:schemaRef ds:uri="71c5aaf6-e6ce-465b-b873-5148d2a4c105"/>
    <ds:schemaRef ds:uri="http://www.w3.org/XML/1998/namespace"/>
  </ds:schemaRefs>
</ds:datastoreItem>
</file>

<file path=customXml/itemProps6.xml><?xml version="1.0" encoding="utf-8"?>
<ds:datastoreItem xmlns:ds="http://schemas.openxmlformats.org/officeDocument/2006/customXml" ds:itemID="{F5FEA895-196A-4CBD-AC3B-69130CAA1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454</TotalTime>
  <Pages>4</Pages>
  <Words>2051</Words>
  <Characters>11695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13719</CharactersWithSpaces>
  <SharedDoc>false</SharedDoc>
  <HLinks>
    <vt:vector size="42" baseType="variant">
      <vt:variant>
        <vt:i4>1114171</vt:i4>
      </vt:variant>
      <vt:variant>
        <vt:i4>20</vt:i4>
      </vt:variant>
      <vt:variant>
        <vt:i4>0</vt:i4>
      </vt:variant>
      <vt:variant>
        <vt:i4>5</vt:i4>
      </vt:variant>
      <vt:variant>
        <vt:lpwstr/>
      </vt:variant>
      <vt:variant>
        <vt:lpwstr>_Toc149828120</vt:lpwstr>
      </vt:variant>
      <vt:variant>
        <vt:i4>1179707</vt:i4>
      </vt:variant>
      <vt:variant>
        <vt:i4>17</vt:i4>
      </vt:variant>
      <vt:variant>
        <vt:i4>0</vt:i4>
      </vt:variant>
      <vt:variant>
        <vt:i4>5</vt:i4>
      </vt:variant>
      <vt:variant>
        <vt:lpwstr/>
      </vt:variant>
      <vt:variant>
        <vt:lpwstr>_Toc149828119</vt:lpwstr>
      </vt:variant>
      <vt:variant>
        <vt:i4>1179707</vt:i4>
      </vt:variant>
      <vt:variant>
        <vt:i4>14</vt:i4>
      </vt:variant>
      <vt:variant>
        <vt:i4>0</vt:i4>
      </vt:variant>
      <vt:variant>
        <vt:i4>5</vt:i4>
      </vt:variant>
      <vt:variant>
        <vt:lpwstr/>
      </vt:variant>
      <vt:variant>
        <vt:lpwstr>_Toc149828118</vt:lpwstr>
      </vt:variant>
      <vt:variant>
        <vt:i4>1179707</vt:i4>
      </vt:variant>
      <vt:variant>
        <vt:i4>11</vt:i4>
      </vt:variant>
      <vt:variant>
        <vt:i4>0</vt:i4>
      </vt:variant>
      <vt:variant>
        <vt:i4>5</vt:i4>
      </vt:variant>
      <vt:variant>
        <vt:lpwstr/>
      </vt:variant>
      <vt:variant>
        <vt:lpwstr>_Toc149828117</vt:lpwstr>
      </vt:variant>
      <vt:variant>
        <vt:i4>1179707</vt:i4>
      </vt:variant>
      <vt:variant>
        <vt:i4>8</vt:i4>
      </vt:variant>
      <vt:variant>
        <vt:i4>0</vt:i4>
      </vt:variant>
      <vt:variant>
        <vt:i4>5</vt:i4>
      </vt:variant>
      <vt:variant>
        <vt:lpwstr/>
      </vt:variant>
      <vt:variant>
        <vt:lpwstr>_Toc149828116</vt:lpwstr>
      </vt:variant>
      <vt:variant>
        <vt:i4>1179707</vt:i4>
      </vt:variant>
      <vt:variant>
        <vt:i4>5</vt:i4>
      </vt:variant>
      <vt:variant>
        <vt:i4>0</vt:i4>
      </vt:variant>
      <vt:variant>
        <vt:i4>5</vt:i4>
      </vt:variant>
      <vt:variant>
        <vt:lpwstr/>
      </vt:variant>
      <vt:variant>
        <vt:lpwstr>_Toc149828115</vt:lpwstr>
      </vt:variant>
      <vt:variant>
        <vt:i4>1179707</vt:i4>
      </vt:variant>
      <vt:variant>
        <vt:i4>2</vt:i4>
      </vt:variant>
      <vt:variant>
        <vt:i4>0</vt:i4>
      </vt:variant>
      <vt:variant>
        <vt:i4>5</vt:i4>
      </vt:variant>
      <vt:variant>
        <vt:lpwstr/>
      </vt:variant>
      <vt:variant>
        <vt:lpwstr>_Toc149828114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RAN4#109</cp:lastModifiedBy>
  <cp:revision>321</cp:revision>
  <dcterms:created xsi:type="dcterms:W3CDTF">2023-09-28T10:30:00Z</dcterms:created>
  <dcterms:modified xsi:type="dcterms:W3CDTF">2023-11-03T09:26:00Z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8a9af6dc-367f-41a6-8b87-840d565f93d5</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